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5FD8" w14:textId="77777777" w:rsidR="00D154C2" w:rsidRDefault="00D154C2" w:rsidP="00D154C2">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Pr>
          <w:rFonts w:ascii="Arial" w:hAnsi="Arial" w:cs="Arial"/>
          <w:b/>
          <w:spacing w:val="-3"/>
          <w:sz w:val="20"/>
          <w:szCs w:val="20"/>
        </w:rPr>
        <w:t>6</w:t>
      </w:r>
      <w:r w:rsidRPr="001A204B">
        <w:rPr>
          <w:rFonts w:ascii="Arial" w:hAnsi="Arial" w:cs="Arial"/>
          <w:b/>
          <w:spacing w:val="-3"/>
          <w:sz w:val="20"/>
          <w:szCs w:val="20"/>
        </w:rPr>
        <w:t xml:space="preserve"> </w:t>
      </w:r>
    </w:p>
    <w:p w14:paraId="72DFA2A7" w14:textId="77777777" w:rsidR="00D154C2" w:rsidRDefault="00D154C2" w:rsidP="00D154C2">
      <w:pPr>
        <w:tabs>
          <w:tab w:val="left" w:pos="-720"/>
        </w:tabs>
        <w:suppressAutoHyphens/>
        <w:spacing w:after="0" w:line="240" w:lineRule="auto"/>
        <w:jc w:val="center"/>
        <w:rPr>
          <w:rFonts w:ascii="Arial" w:hAnsi="Arial" w:cs="Arial"/>
          <w:b/>
          <w:spacing w:val="-3"/>
          <w:sz w:val="20"/>
          <w:szCs w:val="20"/>
        </w:rPr>
      </w:pPr>
    </w:p>
    <w:p w14:paraId="086FE1EC" w14:textId="77777777" w:rsidR="00D154C2" w:rsidRDefault="00D154C2" w:rsidP="00D154C2">
      <w:pPr>
        <w:tabs>
          <w:tab w:val="left" w:pos="-720"/>
        </w:tabs>
        <w:suppressAutoHyphens/>
        <w:spacing w:after="0" w:line="240" w:lineRule="auto"/>
        <w:jc w:val="center"/>
        <w:rPr>
          <w:rFonts w:ascii="Arial" w:hAnsi="Arial" w:cs="Arial"/>
          <w:b/>
          <w:spacing w:val="-3"/>
          <w:sz w:val="20"/>
          <w:szCs w:val="20"/>
        </w:rPr>
      </w:pPr>
      <w:r>
        <w:rPr>
          <w:rFonts w:ascii="Arial" w:hAnsi="Arial" w:cs="Arial"/>
          <w:b/>
          <w:spacing w:val="-3"/>
          <w:sz w:val="20"/>
          <w:szCs w:val="20"/>
        </w:rPr>
        <w:t>METODOLOGÍA DE CÁLCULO DE LA PRIMA DE ILIQUIDEZ</w:t>
      </w:r>
    </w:p>
    <w:p w14:paraId="473ADAF3" w14:textId="77777777" w:rsidR="00D154C2" w:rsidRDefault="00D154C2" w:rsidP="00D154C2">
      <w:pPr>
        <w:tabs>
          <w:tab w:val="left" w:pos="-720"/>
        </w:tabs>
        <w:suppressAutoHyphens/>
        <w:spacing w:after="0" w:line="240" w:lineRule="auto"/>
        <w:jc w:val="both"/>
        <w:rPr>
          <w:rFonts w:ascii="Arial" w:hAnsi="Arial" w:cs="Arial"/>
          <w:b/>
          <w:spacing w:val="-3"/>
          <w:sz w:val="20"/>
          <w:szCs w:val="20"/>
        </w:rPr>
      </w:pPr>
    </w:p>
    <w:p w14:paraId="37EE694E" w14:textId="77777777" w:rsidR="00D154C2" w:rsidRDefault="00D154C2" w:rsidP="00D154C2">
      <w:pPr>
        <w:tabs>
          <w:tab w:val="left" w:pos="-720"/>
        </w:tabs>
        <w:suppressAutoHyphens/>
        <w:spacing w:after="0" w:line="240" w:lineRule="auto"/>
        <w:jc w:val="both"/>
        <w:rPr>
          <w:rFonts w:ascii="Arial" w:hAnsi="Arial" w:cs="Arial"/>
          <w:b/>
          <w:spacing w:val="-3"/>
          <w:sz w:val="20"/>
          <w:szCs w:val="20"/>
        </w:rPr>
      </w:pPr>
    </w:p>
    <w:p w14:paraId="504AA4AF" w14:textId="7BBB9FE6" w:rsidR="00D154C2" w:rsidRPr="00956DD7" w:rsidRDefault="00D154C2" w:rsidP="00D154C2">
      <w:pPr>
        <w:suppressAutoHyphens/>
        <w:spacing w:after="0" w:line="240" w:lineRule="auto"/>
        <w:jc w:val="both"/>
        <w:rPr>
          <w:rFonts w:ascii="Arial" w:hAnsi="Arial" w:cs="Arial"/>
          <w:spacing w:val="-3"/>
          <w:sz w:val="20"/>
          <w:szCs w:val="20"/>
        </w:rPr>
      </w:pPr>
      <w:r w:rsidRPr="007D3CDC">
        <w:rPr>
          <w:rFonts w:ascii="Arial" w:hAnsi="Arial" w:cs="Arial"/>
          <w:spacing w:val="-3"/>
          <w:sz w:val="20"/>
          <w:szCs w:val="20"/>
        </w:rPr>
        <w:t>De acuerdo con</w:t>
      </w:r>
      <w:r w:rsidRPr="690115CB">
        <w:rPr>
          <w:rFonts w:ascii="Arial" w:hAnsi="Arial" w:cs="Arial"/>
          <w:spacing w:val="-3"/>
          <w:sz w:val="20"/>
          <w:szCs w:val="20"/>
        </w:rPr>
        <w:t xml:space="preserve"> el numeral 3.3.2. del capítulo XXXIV de la CBCF, las entidades aseguradoras deben calcular la prima de iliquidez que hace parte de la tasa de descuento para la mejor estimación de sus obligaciones futuras</w:t>
      </w:r>
      <w:r>
        <w:rPr>
          <w:rFonts w:ascii="Arial" w:hAnsi="Arial" w:cs="Arial"/>
          <w:spacing w:val="-3"/>
          <w:sz w:val="20"/>
          <w:szCs w:val="20"/>
        </w:rPr>
        <w:t>, aplicando</w:t>
      </w:r>
      <w:r w:rsidRPr="690115CB">
        <w:rPr>
          <w:rFonts w:ascii="Arial" w:hAnsi="Arial" w:cs="Arial"/>
          <w:spacing w:val="-3"/>
          <w:sz w:val="20"/>
          <w:szCs w:val="20"/>
        </w:rPr>
        <w:t xml:space="preserve"> la siguiente metodología:</w:t>
      </w:r>
    </w:p>
    <w:p w14:paraId="5A9CB520" w14:textId="77777777" w:rsidR="00D154C2" w:rsidRPr="00721152" w:rsidRDefault="00D154C2" w:rsidP="00D154C2">
      <w:pPr>
        <w:jc w:val="center"/>
        <w:rPr>
          <w:rFonts w:ascii="Arial" w:hAnsi="Arial" w:cs="Arial"/>
          <w:b/>
          <w:sz w:val="20"/>
          <w:szCs w:val="20"/>
        </w:rPr>
      </w:pPr>
    </w:p>
    <w:p w14:paraId="48DD6783" w14:textId="6D0D7C0C" w:rsidR="00D154C2" w:rsidRPr="000D72FF" w:rsidRDefault="00D154C2" w:rsidP="00D154C2">
      <w:pPr>
        <w:rPr>
          <w:rFonts w:ascii="Arial" w:hAnsi="Arial" w:cs="Arial"/>
          <w:b/>
          <w:bCs/>
          <w:sz w:val="20"/>
          <w:szCs w:val="20"/>
        </w:rPr>
      </w:pPr>
      <w:r w:rsidRPr="000D72FF">
        <w:rPr>
          <w:rFonts w:ascii="Arial" w:hAnsi="Arial" w:cs="Arial"/>
          <w:b/>
          <w:bCs/>
          <w:sz w:val="20"/>
          <w:szCs w:val="20"/>
        </w:rPr>
        <w:t>Metodología para el cálculo de la prima de iliquidez</w:t>
      </w:r>
    </w:p>
    <w:p w14:paraId="417E0554" w14:textId="174C14CE" w:rsidR="00BA16F6" w:rsidRDefault="00BA13AA" w:rsidP="00D154C2">
      <w:pPr>
        <w:jc w:val="both"/>
        <w:rPr>
          <w:rFonts w:ascii="Arial" w:hAnsi="Arial" w:cs="Arial"/>
          <w:sz w:val="20"/>
          <w:szCs w:val="20"/>
        </w:rPr>
      </w:pPr>
      <w:r>
        <w:rPr>
          <w:rFonts w:ascii="Arial" w:hAnsi="Arial" w:cs="Arial"/>
          <w:sz w:val="20"/>
          <w:szCs w:val="20"/>
        </w:rPr>
        <w:t xml:space="preserve">De acuerdo con lo establecido </w:t>
      </w:r>
      <w:r>
        <w:rPr>
          <w:rFonts w:ascii="Arial" w:hAnsi="Arial" w:cs="Arial"/>
          <w:sz w:val="20"/>
          <w:szCs w:val="20"/>
        </w:rPr>
        <w:t xml:space="preserve">en el </w:t>
      </w:r>
      <w:r w:rsidR="00425E36">
        <w:rPr>
          <w:rFonts w:ascii="Arial" w:hAnsi="Arial" w:cs="Arial"/>
          <w:sz w:val="20"/>
          <w:szCs w:val="20"/>
        </w:rPr>
        <w:t xml:space="preserve">numeral 1.2. del </w:t>
      </w:r>
      <w:r>
        <w:rPr>
          <w:rFonts w:ascii="Arial" w:hAnsi="Arial" w:cs="Arial"/>
          <w:sz w:val="20"/>
          <w:szCs w:val="20"/>
        </w:rPr>
        <w:t>artículo 2.31</w:t>
      </w:r>
      <w:r w:rsidR="00F87E64">
        <w:rPr>
          <w:rFonts w:ascii="Arial" w:hAnsi="Arial" w:cs="Arial"/>
          <w:sz w:val="20"/>
          <w:szCs w:val="20"/>
        </w:rPr>
        <w:t>.4</w:t>
      </w:r>
      <w:r w:rsidR="00F87E64">
        <w:rPr>
          <w:rFonts w:ascii="Arial" w:hAnsi="Arial" w:cs="Arial"/>
          <w:sz w:val="20"/>
          <w:szCs w:val="20"/>
        </w:rPr>
        <w:t>.1.4 del Decreto 2555 de 2010 “</w:t>
      </w:r>
      <w:r w:rsidR="009021F9" w:rsidRPr="009875F2">
        <w:rPr>
          <w:rFonts w:ascii="Arial" w:hAnsi="Arial" w:cs="Arial"/>
          <w:i/>
          <w:iCs/>
          <w:sz w:val="20"/>
          <w:szCs w:val="20"/>
        </w:rPr>
        <w:t xml:space="preserve">La prima de iliquidez corresponde a un ajuste a la curva rendimiento libre de riesgo con el objetivo incorporar las diferencias entre las características de liquidez de los instrumentos financieros que subyacen en las tasas observadas en el mercado y las características de liquidez </w:t>
      </w:r>
      <w:r w:rsidR="009875F2" w:rsidRPr="009875F2">
        <w:rPr>
          <w:rFonts w:ascii="Arial" w:hAnsi="Arial" w:cs="Arial"/>
          <w:i/>
          <w:iCs/>
          <w:sz w:val="20"/>
          <w:szCs w:val="20"/>
        </w:rPr>
        <w:t xml:space="preserve">de </w:t>
      </w:r>
      <w:r w:rsidR="009021F9" w:rsidRPr="009875F2">
        <w:rPr>
          <w:rFonts w:ascii="Arial" w:hAnsi="Arial" w:cs="Arial"/>
          <w:i/>
          <w:iCs/>
          <w:sz w:val="20"/>
          <w:szCs w:val="20"/>
        </w:rPr>
        <w:t>los contratos de seguro de las entidades aseguradoras</w:t>
      </w:r>
      <w:r w:rsidR="009875F2">
        <w:rPr>
          <w:rFonts w:ascii="Arial" w:hAnsi="Arial" w:cs="Arial"/>
          <w:sz w:val="20"/>
          <w:szCs w:val="20"/>
        </w:rPr>
        <w:t>”</w:t>
      </w:r>
      <w:r w:rsidR="009021F9" w:rsidRPr="009021F9">
        <w:rPr>
          <w:rFonts w:ascii="Arial" w:hAnsi="Arial" w:cs="Arial"/>
          <w:sz w:val="20"/>
          <w:szCs w:val="20"/>
        </w:rPr>
        <w:t>.</w:t>
      </w:r>
      <w:r w:rsidR="008D2188">
        <w:rPr>
          <w:rFonts w:ascii="Arial" w:hAnsi="Arial" w:cs="Arial"/>
          <w:sz w:val="20"/>
          <w:szCs w:val="20"/>
        </w:rPr>
        <w:t xml:space="preserve"> Por lo tanto, l</w:t>
      </w:r>
      <w:r w:rsidR="00D154C2" w:rsidRPr="1B6FF077">
        <w:rPr>
          <w:rFonts w:ascii="Arial" w:hAnsi="Arial" w:cs="Arial"/>
          <w:sz w:val="20"/>
          <w:szCs w:val="20"/>
        </w:rPr>
        <w:t>a prima de iliquidez depende de varios factores</w:t>
      </w:r>
      <w:r w:rsidR="00645998">
        <w:rPr>
          <w:rFonts w:ascii="Arial" w:hAnsi="Arial" w:cs="Arial"/>
          <w:sz w:val="20"/>
          <w:szCs w:val="20"/>
        </w:rPr>
        <w:t>, tales</w:t>
      </w:r>
      <w:r w:rsidR="000B4CD2">
        <w:rPr>
          <w:rFonts w:ascii="Arial" w:hAnsi="Arial" w:cs="Arial"/>
          <w:sz w:val="20"/>
          <w:szCs w:val="20"/>
        </w:rPr>
        <w:t xml:space="preserve"> como</w:t>
      </w:r>
      <w:r w:rsidR="001021C6">
        <w:rPr>
          <w:rFonts w:ascii="Arial" w:hAnsi="Arial" w:cs="Arial"/>
          <w:sz w:val="20"/>
          <w:szCs w:val="20"/>
        </w:rPr>
        <w:t>:</w:t>
      </w:r>
      <w:r w:rsidR="00D154C2" w:rsidRPr="1B6FF077">
        <w:rPr>
          <w:rFonts w:ascii="Arial" w:hAnsi="Arial" w:cs="Arial"/>
          <w:sz w:val="20"/>
          <w:szCs w:val="20"/>
        </w:rPr>
        <w:t xml:space="preserve"> tipo, </w:t>
      </w:r>
      <w:r w:rsidR="00AF7763">
        <w:rPr>
          <w:rFonts w:ascii="Arial" w:hAnsi="Arial" w:cs="Arial"/>
          <w:sz w:val="20"/>
          <w:szCs w:val="20"/>
        </w:rPr>
        <w:t>plazo</w:t>
      </w:r>
      <w:r w:rsidR="00262746">
        <w:rPr>
          <w:rFonts w:ascii="Arial" w:hAnsi="Arial" w:cs="Arial"/>
          <w:sz w:val="20"/>
          <w:szCs w:val="20"/>
        </w:rPr>
        <w:t xml:space="preserve"> y </w:t>
      </w:r>
      <w:r w:rsidR="00A75601">
        <w:rPr>
          <w:rFonts w:ascii="Arial" w:hAnsi="Arial" w:cs="Arial"/>
          <w:sz w:val="20"/>
          <w:szCs w:val="20"/>
        </w:rPr>
        <w:t>calific</w:t>
      </w:r>
      <w:r w:rsidR="00A7212C">
        <w:rPr>
          <w:rFonts w:ascii="Arial" w:hAnsi="Arial" w:cs="Arial"/>
          <w:sz w:val="20"/>
          <w:szCs w:val="20"/>
        </w:rPr>
        <w:t>ación</w:t>
      </w:r>
      <w:r w:rsidR="00CF6FCF">
        <w:rPr>
          <w:rFonts w:ascii="Arial" w:hAnsi="Arial" w:cs="Arial"/>
          <w:sz w:val="20"/>
          <w:szCs w:val="20"/>
        </w:rPr>
        <w:t xml:space="preserve"> del activo</w:t>
      </w:r>
      <w:r w:rsidR="000B4CD2">
        <w:rPr>
          <w:rFonts w:ascii="Arial" w:hAnsi="Arial" w:cs="Arial"/>
          <w:sz w:val="20"/>
          <w:szCs w:val="20"/>
        </w:rPr>
        <w:t xml:space="preserve">, </w:t>
      </w:r>
      <w:r w:rsidR="00D154C2" w:rsidRPr="1B6FF077">
        <w:rPr>
          <w:rFonts w:ascii="Arial" w:hAnsi="Arial" w:cs="Arial"/>
          <w:sz w:val="20"/>
          <w:szCs w:val="20"/>
        </w:rPr>
        <w:t>las condiciones de mercado y las preferencias de inversión</w:t>
      </w:r>
      <w:r w:rsidR="00262746">
        <w:rPr>
          <w:rFonts w:ascii="Arial" w:hAnsi="Arial" w:cs="Arial"/>
          <w:sz w:val="20"/>
          <w:szCs w:val="20"/>
        </w:rPr>
        <w:t>, entre otros</w:t>
      </w:r>
      <w:r w:rsidR="00D154C2" w:rsidRPr="1B6FF077">
        <w:rPr>
          <w:rFonts w:ascii="Arial" w:hAnsi="Arial" w:cs="Arial"/>
          <w:sz w:val="20"/>
          <w:szCs w:val="20"/>
        </w:rPr>
        <w:t>. Para l</w:t>
      </w:r>
      <w:r w:rsidR="00453824" w:rsidRPr="1B6FF077">
        <w:rPr>
          <w:rFonts w:ascii="Arial" w:hAnsi="Arial" w:cs="Arial"/>
          <w:sz w:val="20"/>
          <w:szCs w:val="20"/>
        </w:rPr>
        <w:t>a</w:t>
      </w:r>
      <w:r w:rsidR="00D154C2" w:rsidRPr="1B6FF077">
        <w:rPr>
          <w:rFonts w:ascii="Arial" w:hAnsi="Arial" w:cs="Arial"/>
          <w:sz w:val="20"/>
          <w:szCs w:val="20"/>
        </w:rPr>
        <w:t xml:space="preserve"> </w:t>
      </w:r>
      <w:r w:rsidR="00453824" w:rsidRPr="1B6FF077">
        <w:rPr>
          <w:rFonts w:ascii="Arial" w:hAnsi="Arial" w:cs="Arial"/>
          <w:sz w:val="20"/>
          <w:szCs w:val="20"/>
        </w:rPr>
        <w:t xml:space="preserve">determinación </w:t>
      </w:r>
      <w:r w:rsidR="00D154C2" w:rsidRPr="1B6FF077">
        <w:rPr>
          <w:rFonts w:ascii="Arial" w:hAnsi="Arial" w:cs="Arial"/>
          <w:sz w:val="20"/>
          <w:szCs w:val="20"/>
        </w:rPr>
        <w:t>de esta prima</w:t>
      </w:r>
      <w:r w:rsidR="00453824" w:rsidRPr="1B6FF077">
        <w:rPr>
          <w:rFonts w:ascii="Arial" w:hAnsi="Arial" w:cs="Arial"/>
          <w:sz w:val="20"/>
          <w:szCs w:val="20"/>
        </w:rPr>
        <w:t xml:space="preserve"> las entidades aseguradoras deberán</w:t>
      </w:r>
      <w:r w:rsidR="00D154C2" w:rsidRPr="1B6FF077">
        <w:rPr>
          <w:rFonts w:ascii="Arial" w:hAnsi="Arial" w:cs="Arial"/>
          <w:sz w:val="20"/>
          <w:szCs w:val="20"/>
        </w:rPr>
        <w:t xml:space="preserve"> emplear la </w:t>
      </w:r>
      <w:r w:rsidR="00BA16F6" w:rsidRPr="1B6FF077">
        <w:rPr>
          <w:rFonts w:ascii="Arial" w:hAnsi="Arial" w:cs="Arial"/>
          <w:sz w:val="20"/>
          <w:szCs w:val="20"/>
        </w:rPr>
        <w:t>metodologí</w:t>
      </w:r>
      <w:r w:rsidR="00BA16F6">
        <w:rPr>
          <w:rFonts w:ascii="Arial" w:hAnsi="Arial" w:cs="Arial"/>
          <w:sz w:val="20"/>
          <w:szCs w:val="20"/>
        </w:rPr>
        <w:t xml:space="preserve">a </w:t>
      </w:r>
      <w:r w:rsidR="00645998">
        <w:rPr>
          <w:rFonts w:ascii="Arial" w:hAnsi="Arial" w:cs="Arial"/>
          <w:sz w:val="20"/>
          <w:szCs w:val="20"/>
        </w:rPr>
        <w:t xml:space="preserve">que se </w:t>
      </w:r>
      <w:r w:rsidR="00BA16F6">
        <w:rPr>
          <w:rFonts w:ascii="Arial" w:hAnsi="Arial" w:cs="Arial"/>
          <w:sz w:val="20"/>
          <w:szCs w:val="20"/>
        </w:rPr>
        <w:t>descri</w:t>
      </w:r>
      <w:r w:rsidR="00645998">
        <w:rPr>
          <w:rFonts w:ascii="Arial" w:hAnsi="Arial" w:cs="Arial"/>
          <w:sz w:val="20"/>
          <w:szCs w:val="20"/>
        </w:rPr>
        <w:t>be</w:t>
      </w:r>
      <w:r w:rsidR="00BA16F6">
        <w:rPr>
          <w:rFonts w:ascii="Arial" w:hAnsi="Arial" w:cs="Arial"/>
          <w:sz w:val="20"/>
          <w:szCs w:val="20"/>
        </w:rPr>
        <w:t xml:space="preserve"> a continuación:</w:t>
      </w:r>
    </w:p>
    <w:p w14:paraId="4DF2A5C7" w14:textId="77777777" w:rsidR="00D154C2" w:rsidRPr="001E4D0B" w:rsidRDefault="00D154C2" w:rsidP="00D154C2">
      <w:pPr>
        <w:pStyle w:val="Prrafodelista"/>
        <w:numPr>
          <w:ilvl w:val="0"/>
          <w:numId w:val="25"/>
        </w:numPr>
        <w:spacing w:after="160" w:line="259" w:lineRule="auto"/>
        <w:rPr>
          <w:rFonts w:ascii="Arial" w:hAnsi="Arial" w:cs="Arial"/>
          <w:b/>
          <w:bCs/>
          <w:sz w:val="20"/>
          <w:szCs w:val="20"/>
        </w:rPr>
      </w:pPr>
      <w:r w:rsidRPr="001E4D0B">
        <w:rPr>
          <w:rFonts w:ascii="Arial" w:hAnsi="Arial" w:cs="Arial"/>
          <w:b/>
          <w:bCs/>
          <w:sz w:val="20"/>
          <w:szCs w:val="20"/>
        </w:rPr>
        <w:t>Generalidades</w:t>
      </w:r>
    </w:p>
    <w:p w14:paraId="70CE96D6" w14:textId="46CAAE8A" w:rsidR="00D154C2" w:rsidRPr="00635CD2" w:rsidRDefault="00792056" w:rsidP="00D154C2">
      <w:pPr>
        <w:jc w:val="both"/>
        <w:rPr>
          <w:rFonts w:ascii="Arial" w:hAnsi="Arial" w:cs="Arial"/>
          <w:sz w:val="20"/>
          <w:szCs w:val="20"/>
        </w:rPr>
      </w:pPr>
      <w:r>
        <w:rPr>
          <w:rFonts w:ascii="Arial" w:hAnsi="Arial" w:cs="Arial"/>
          <w:sz w:val="20"/>
          <w:szCs w:val="20"/>
        </w:rPr>
        <w:t>Esta metodología</w:t>
      </w:r>
      <w:r w:rsidR="00D154C2" w:rsidRPr="002916A8">
        <w:rPr>
          <w:rFonts w:ascii="Arial" w:hAnsi="Arial" w:cs="Arial"/>
          <w:sz w:val="20"/>
          <w:szCs w:val="20"/>
        </w:rPr>
        <w:t xml:space="preserve"> es un </w:t>
      </w:r>
      <w:r w:rsidR="00D154C2" w:rsidRPr="003312F1">
        <w:rPr>
          <w:rFonts w:ascii="Arial" w:hAnsi="Arial" w:cs="Arial"/>
          <w:sz w:val="20"/>
          <w:szCs w:val="20"/>
        </w:rPr>
        <w:t xml:space="preserve">mecanismo regulatorio que </w:t>
      </w:r>
      <w:r w:rsidR="00D154C2">
        <w:rPr>
          <w:rFonts w:ascii="Arial" w:hAnsi="Arial" w:cs="Arial"/>
          <w:sz w:val="20"/>
          <w:szCs w:val="20"/>
        </w:rPr>
        <w:t xml:space="preserve">le </w:t>
      </w:r>
      <w:r w:rsidR="00D154C2" w:rsidRPr="003312F1">
        <w:rPr>
          <w:rFonts w:ascii="Arial" w:hAnsi="Arial" w:cs="Arial"/>
          <w:sz w:val="20"/>
          <w:szCs w:val="20"/>
        </w:rPr>
        <w:t>permite</w:t>
      </w:r>
      <w:r w:rsidR="00D154C2" w:rsidRPr="002916A8">
        <w:rPr>
          <w:rFonts w:ascii="Arial" w:hAnsi="Arial" w:cs="Arial"/>
          <w:sz w:val="20"/>
          <w:szCs w:val="20"/>
        </w:rPr>
        <w:t xml:space="preserve"> a </w:t>
      </w:r>
      <w:r w:rsidR="00D154C2" w:rsidRPr="003312F1">
        <w:rPr>
          <w:rFonts w:ascii="Arial" w:hAnsi="Arial" w:cs="Arial"/>
          <w:sz w:val="20"/>
          <w:szCs w:val="20"/>
        </w:rPr>
        <w:t xml:space="preserve">las </w:t>
      </w:r>
      <w:r w:rsidR="00453824">
        <w:rPr>
          <w:rFonts w:ascii="Arial" w:hAnsi="Arial" w:cs="Arial"/>
          <w:sz w:val="20"/>
          <w:szCs w:val="20"/>
        </w:rPr>
        <w:t xml:space="preserve">entidades </w:t>
      </w:r>
      <w:r w:rsidR="00D154C2" w:rsidRPr="003312F1">
        <w:rPr>
          <w:rFonts w:ascii="Arial" w:hAnsi="Arial" w:cs="Arial"/>
          <w:sz w:val="20"/>
          <w:szCs w:val="20"/>
        </w:rPr>
        <w:t xml:space="preserve">aseguradoras ajustar </w:t>
      </w:r>
      <w:r w:rsidR="00D154C2" w:rsidRPr="002916A8">
        <w:rPr>
          <w:rFonts w:ascii="Arial" w:hAnsi="Arial" w:cs="Arial"/>
          <w:sz w:val="20"/>
          <w:szCs w:val="20"/>
        </w:rPr>
        <w:t xml:space="preserve">la </w:t>
      </w:r>
      <w:r w:rsidR="00D154C2" w:rsidRPr="003312F1">
        <w:rPr>
          <w:rFonts w:ascii="Arial" w:hAnsi="Arial" w:cs="Arial"/>
          <w:sz w:val="20"/>
          <w:szCs w:val="20"/>
        </w:rPr>
        <w:t xml:space="preserve">curva de descuento utilizada en la valoración de sus </w:t>
      </w:r>
      <w:r w:rsidR="00D154C2">
        <w:rPr>
          <w:rFonts w:ascii="Arial" w:hAnsi="Arial" w:cs="Arial"/>
          <w:sz w:val="20"/>
          <w:szCs w:val="20"/>
        </w:rPr>
        <w:t>reservas</w:t>
      </w:r>
      <w:r w:rsidR="00D154C2" w:rsidRPr="003312F1">
        <w:rPr>
          <w:rFonts w:ascii="Arial" w:hAnsi="Arial" w:cs="Arial"/>
          <w:sz w:val="20"/>
          <w:szCs w:val="20"/>
        </w:rPr>
        <w:t xml:space="preserve"> técnicas</w:t>
      </w:r>
      <w:r w:rsidR="00D154C2" w:rsidRPr="002916A8">
        <w:rPr>
          <w:rFonts w:ascii="Arial" w:hAnsi="Arial" w:cs="Arial"/>
          <w:sz w:val="20"/>
          <w:szCs w:val="20"/>
        </w:rPr>
        <w:t xml:space="preserve">, </w:t>
      </w:r>
      <w:r w:rsidR="00D154C2" w:rsidRPr="003312F1">
        <w:rPr>
          <w:rFonts w:ascii="Arial" w:hAnsi="Arial" w:cs="Arial"/>
          <w:sz w:val="20"/>
          <w:szCs w:val="20"/>
        </w:rPr>
        <w:t>incorporando una parte del diferencial de rendimiento de los activos que no está relacionada con el riesgo de impago</w:t>
      </w:r>
      <w:r w:rsidR="00453824">
        <w:rPr>
          <w:rFonts w:ascii="Arial" w:hAnsi="Arial" w:cs="Arial"/>
          <w:sz w:val="20"/>
          <w:szCs w:val="20"/>
        </w:rPr>
        <w:t xml:space="preserve"> o incumplimiento</w:t>
      </w:r>
      <w:r w:rsidR="00D154C2" w:rsidRPr="003312F1">
        <w:rPr>
          <w:rFonts w:ascii="Arial" w:hAnsi="Arial" w:cs="Arial"/>
          <w:sz w:val="20"/>
          <w:szCs w:val="20"/>
        </w:rPr>
        <w:t xml:space="preserve">. </w:t>
      </w:r>
      <w:r w:rsidR="004B3F84">
        <w:rPr>
          <w:rFonts w:ascii="Arial" w:hAnsi="Arial" w:cs="Arial"/>
          <w:sz w:val="20"/>
          <w:szCs w:val="20"/>
        </w:rPr>
        <w:t>En línea</w:t>
      </w:r>
      <w:r w:rsidR="00A5603E">
        <w:rPr>
          <w:rFonts w:ascii="Arial" w:hAnsi="Arial" w:cs="Arial"/>
          <w:sz w:val="20"/>
          <w:szCs w:val="20"/>
        </w:rPr>
        <w:t xml:space="preserve"> con el objetivo previsto en </w:t>
      </w:r>
      <w:r w:rsidR="00EE333D">
        <w:rPr>
          <w:rFonts w:ascii="Arial" w:hAnsi="Arial" w:cs="Arial"/>
          <w:sz w:val="20"/>
          <w:szCs w:val="20"/>
        </w:rPr>
        <w:t xml:space="preserve">el </w:t>
      </w:r>
      <w:r w:rsidR="004B1361">
        <w:rPr>
          <w:rFonts w:ascii="Arial" w:hAnsi="Arial" w:cs="Arial"/>
          <w:sz w:val="20"/>
          <w:szCs w:val="20"/>
        </w:rPr>
        <w:t>artículo</w:t>
      </w:r>
      <w:r w:rsidR="00EE333D">
        <w:rPr>
          <w:rFonts w:ascii="Arial" w:hAnsi="Arial" w:cs="Arial"/>
          <w:sz w:val="20"/>
          <w:szCs w:val="20"/>
        </w:rPr>
        <w:t xml:space="preserve"> </w:t>
      </w:r>
      <w:r w:rsidR="00A5603E">
        <w:rPr>
          <w:rFonts w:ascii="Arial" w:hAnsi="Arial" w:cs="Arial"/>
          <w:sz w:val="20"/>
          <w:szCs w:val="20"/>
        </w:rPr>
        <w:t>antes señalad</w:t>
      </w:r>
      <w:r w:rsidR="004B1361">
        <w:rPr>
          <w:rFonts w:ascii="Arial" w:hAnsi="Arial" w:cs="Arial"/>
          <w:sz w:val="20"/>
          <w:szCs w:val="20"/>
        </w:rPr>
        <w:t>o</w:t>
      </w:r>
      <w:r w:rsidR="00A5603E">
        <w:rPr>
          <w:rFonts w:ascii="Arial" w:hAnsi="Arial" w:cs="Arial"/>
          <w:sz w:val="20"/>
          <w:szCs w:val="20"/>
        </w:rPr>
        <w:t>, e</w:t>
      </w:r>
      <w:r w:rsidR="004B1361">
        <w:rPr>
          <w:rFonts w:ascii="Arial" w:hAnsi="Arial" w:cs="Arial"/>
          <w:sz w:val="20"/>
          <w:szCs w:val="20"/>
        </w:rPr>
        <w:t xml:space="preserve">l </w:t>
      </w:r>
      <w:r w:rsidR="00D154C2" w:rsidRPr="00A5603E">
        <w:rPr>
          <w:rFonts w:ascii="Arial" w:hAnsi="Arial" w:cs="Arial"/>
          <w:sz w:val="20"/>
          <w:szCs w:val="20"/>
        </w:rPr>
        <w:t xml:space="preserve">ajuste </w:t>
      </w:r>
      <w:r w:rsidR="00BA10D9">
        <w:rPr>
          <w:rFonts w:ascii="Arial" w:hAnsi="Arial" w:cs="Arial"/>
          <w:sz w:val="20"/>
          <w:szCs w:val="20"/>
        </w:rPr>
        <w:t xml:space="preserve">a la curva de rendimiento libre de riesgo </w:t>
      </w:r>
      <w:r w:rsidR="00D154C2" w:rsidRPr="00A5603E">
        <w:rPr>
          <w:rFonts w:ascii="Arial" w:hAnsi="Arial" w:cs="Arial"/>
          <w:sz w:val="20"/>
          <w:szCs w:val="20"/>
        </w:rPr>
        <w:t>busca</w:t>
      </w:r>
      <w:r w:rsidR="004B3F84">
        <w:rPr>
          <w:rFonts w:ascii="Arial" w:hAnsi="Arial" w:cs="Arial"/>
          <w:sz w:val="20"/>
          <w:szCs w:val="20"/>
        </w:rPr>
        <w:t>, entre otros,</w:t>
      </w:r>
      <w:r w:rsidR="00D154C2" w:rsidRPr="00A5603E">
        <w:rPr>
          <w:rFonts w:ascii="Arial" w:hAnsi="Arial" w:cs="Arial"/>
          <w:sz w:val="20"/>
          <w:szCs w:val="20"/>
        </w:rPr>
        <w:t xml:space="preserve"> mitigar la volatilidad </w:t>
      </w:r>
      <w:r w:rsidR="00936750">
        <w:rPr>
          <w:rFonts w:ascii="Arial" w:hAnsi="Arial" w:cs="Arial"/>
          <w:sz w:val="20"/>
          <w:szCs w:val="20"/>
        </w:rPr>
        <w:t xml:space="preserve">de los estados financieros </w:t>
      </w:r>
      <w:r w:rsidR="00D154C2" w:rsidRPr="00A5603E">
        <w:rPr>
          <w:rFonts w:ascii="Arial" w:hAnsi="Arial" w:cs="Arial"/>
          <w:sz w:val="20"/>
          <w:szCs w:val="20"/>
        </w:rPr>
        <w:t xml:space="preserve">de las </w:t>
      </w:r>
      <w:r w:rsidR="00453824" w:rsidRPr="00A5603E">
        <w:rPr>
          <w:rFonts w:ascii="Arial" w:hAnsi="Arial" w:cs="Arial"/>
          <w:sz w:val="20"/>
          <w:szCs w:val="20"/>
        </w:rPr>
        <w:t>entidades</w:t>
      </w:r>
      <w:r w:rsidR="00453824">
        <w:rPr>
          <w:rFonts w:ascii="Arial" w:hAnsi="Arial" w:cs="Arial"/>
          <w:sz w:val="20"/>
          <w:szCs w:val="20"/>
        </w:rPr>
        <w:t xml:space="preserve"> </w:t>
      </w:r>
      <w:r w:rsidR="00D154C2" w:rsidRPr="003312F1">
        <w:rPr>
          <w:rFonts w:ascii="Arial" w:hAnsi="Arial" w:cs="Arial"/>
          <w:sz w:val="20"/>
          <w:szCs w:val="20"/>
        </w:rPr>
        <w:t xml:space="preserve">aseguradoras, especialmente en </w:t>
      </w:r>
      <w:r w:rsidR="00900CE7">
        <w:rPr>
          <w:rFonts w:ascii="Arial" w:hAnsi="Arial" w:cs="Arial"/>
          <w:sz w:val="20"/>
          <w:szCs w:val="20"/>
        </w:rPr>
        <w:t xml:space="preserve">los </w:t>
      </w:r>
      <w:r w:rsidR="00D154C2" w:rsidRPr="003312F1">
        <w:rPr>
          <w:rFonts w:ascii="Arial" w:hAnsi="Arial" w:cs="Arial"/>
          <w:sz w:val="20"/>
          <w:szCs w:val="20"/>
        </w:rPr>
        <w:t xml:space="preserve">productos </w:t>
      </w:r>
      <w:r w:rsidR="00CF2F79">
        <w:rPr>
          <w:rFonts w:ascii="Arial" w:hAnsi="Arial" w:cs="Arial"/>
          <w:sz w:val="20"/>
          <w:szCs w:val="20"/>
        </w:rPr>
        <w:t>de</w:t>
      </w:r>
      <w:r w:rsidR="00D154C2" w:rsidRPr="003312F1">
        <w:rPr>
          <w:rFonts w:ascii="Arial" w:hAnsi="Arial" w:cs="Arial"/>
          <w:sz w:val="20"/>
          <w:szCs w:val="20"/>
        </w:rPr>
        <w:t xml:space="preserve"> largo plazo</w:t>
      </w:r>
      <w:r w:rsidR="00900CE7">
        <w:rPr>
          <w:rFonts w:ascii="Arial" w:hAnsi="Arial" w:cs="Arial"/>
          <w:sz w:val="20"/>
          <w:szCs w:val="20"/>
        </w:rPr>
        <w:t xml:space="preserve"> </w:t>
      </w:r>
      <w:r w:rsidR="00A746F8">
        <w:rPr>
          <w:rFonts w:ascii="Arial" w:hAnsi="Arial" w:cs="Arial"/>
          <w:sz w:val="20"/>
          <w:szCs w:val="20"/>
        </w:rPr>
        <w:t xml:space="preserve">y </w:t>
      </w:r>
      <w:r w:rsidR="00D154C2" w:rsidRPr="003312F1">
        <w:rPr>
          <w:rFonts w:ascii="Arial" w:hAnsi="Arial" w:cs="Arial"/>
          <w:sz w:val="20"/>
          <w:szCs w:val="20"/>
        </w:rPr>
        <w:t xml:space="preserve">reflejar de manera </w:t>
      </w:r>
      <w:r w:rsidR="00D154C2">
        <w:rPr>
          <w:rFonts w:ascii="Arial" w:hAnsi="Arial" w:cs="Arial"/>
          <w:sz w:val="20"/>
          <w:szCs w:val="20"/>
        </w:rPr>
        <w:t xml:space="preserve">adecuada </w:t>
      </w:r>
      <w:r w:rsidR="00D154C2" w:rsidRPr="003312F1">
        <w:rPr>
          <w:rFonts w:ascii="Arial" w:hAnsi="Arial" w:cs="Arial"/>
          <w:sz w:val="20"/>
          <w:szCs w:val="20"/>
        </w:rPr>
        <w:t>la rentabilidad de los activos.</w:t>
      </w:r>
      <w:r w:rsidR="00C82888">
        <w:rPr>
          <w:rFonts w:ascii="Arial" w:hAnsi="Arial" w:cs="Arial"/>
          <w:sz w:val="20"/>
          <w:szCs w:val="20"/>
        </w:rPr>
        <w:t xml:space="preserve"> </w:t>
      </w:r>
    </w:p>
    <w:p w14:paraId="3486C82C" w14:textId="78D2178E" w:rsidR="00363D1F" w:rsidRDefault="00074D87" w:rsidP="00D154C2">
      <w:pPr>
        <w:tabs>
          <w:tab w:val="left" w:pos="-720"/>
        </w:tabs>
        <w:suppressAutoHyphens/>
        <w:spacing w:after="0" w:line="240" w:lineRule="auto"/>
        <w:jc w:val="both"/>
        <w:rPr>
          <w:rFonts w:ascii="Arial" w:hAnsi="Arial" w:cs="Arial"/>
          <w:sz w:val="20"/>
          <w:szCs w:val="20"/>
        </w:rPr>
      </w:pPr>
      <w:r w:rsidRPr="00074D87">
        <w:rPr>
          <w:rFonts w:ascii="Arial" w:hAnsi="Arial" w:cs="Arial"/>
          <w:sz w:val="20"/>
          <w:szCs w:val="20"/>
        </w:rPr>
        <w:t>El cálculo de la prima de iliquidez debe realizarse mensualmente, utilizando la información de las reservas técnicas correspondiente</w:t>
      </w:r>
      <w:r w:rsidR="007232CD">
        <w:rPr>
          <w:rFonts w:ascii="Arial" w:hAnsi="Arial" w:cs="Arial"/>
          <w:sz w:val="20"/>
          <w:szCs w:val="20"/>
        </w:rPr>
        <w:t>s</w:t>
      </w:r>
      <w:r w:rsidRPr="00074D87">
        <w:rPr>
          <w:rFonts w:ascii="Arial" w:hAnsi="Arial" w:cs="Arial"/>
          <w:sz w:val="20"/>
          <w:szCs w:val="20"/>
        </w:rPr>
        <w:t xml:space="preserve"> al mes anterior </w:t>
      </w:r>
      <w:r w:rsidR="00420C68">
        <w:rPr>
          <w:rFonts w:ascii="Arial" w:hAnsi="Arial" w:cs="Arial"/>
          <w:sz w:val="20"/>
          <w:szCs w:val="20"/>
        </w:rPr>
        <w:t>de</w:t>
      </w:r>
      <w:r w:rsidRPr="00074D87">
        <w:rPr>
          <w:rFonts w:ascii="Arial" w:hAnsi="Arial" w:cs="Arial"/>
          <w:sz w:val="20"/>
          <w:szCs w:val="20"/>
        </w:rPr>
        <w:t xml:space="preserve"> la fecha de corte, y la de los activos </w:t>
      </w:r>
      <w:r w:rsidR="00DC4C0F">
        <w:rPr>
          <w:rFonts w:ascii="Arial" w:hAnsi="Arial" w:cs="Arial"/>
          <w:sz w:val="20"/>
          <w:szCs w:val="20"/>
        </w:rPr>
        <w:t>en</w:t>
      </w:r>
      <w:r w:rsidR="00627997">
        <w:rPr>
          <w:rFonts w:ascii="Arial" w:hAnsi="Arial" w:cs="Arial"/>
          <w:sz w:val="20"/>
          <w:szCs w:val="20"/>
        </w:rPr>
        <w:t xml:space="preserve"> </w:t>
      </w:r>
      <w:r w:rsidRPr="00074D87">
        <w:rPr>
          <w:rFonts w:ascii="Arial" w:hAnsi="Arial" w:cs="Arial"/>
          <w:sz w:val="20"/>
          <w:szCs w:val="20"/>
        </w:rPr>
        <w:t>la fecha de corte.</w:t>
      </w:r>
      <w:r w:rsidR="00363D1F" w:rsidRPr="00363D1F">
        <w:rPr>
          <w:rFonts w:ascii="Arial" w:hAnsi="Arial" w:cs="Arial"/>
          <w:sz w:val="20"/>
          <w:szCs w:val="20"/>
        </w:rPr>
        <w:t xml:space="preserve"> </w:t>
      </w:r>
      <w:r w:rsidR="00363D1F" w:rsidRPr="00074D87">
        <w:rPr>
          <w:rFonts w:ascii="Arial" w:hAnsi="Arial" w:cs="Arial"/>
          <w:sz w:val="20"/>
          <w:szCs w:val="20"/>
        </w:rPr>
        <w:t>Por ejemplo, si la fecha de corte es el 31 de julio, los pasivos se tomarán con corte al 30 de junio</w:t>
      </w:r>
      <w:r w:rsidR="002A730E">
        <w:rPr>
          <w:rFonts w:ascii="Arial" w:hAnsi="Arial" w:cs="Arial"/>
          <w:sz w:val="20"/>
          <w:szCs w:val="20"/>
        </w:rPr>
        <w:t xml:space="preserve"> y la de</w:t>
      </w:r>
      <w:r w:rsidR="00363D1F" w:rsidRPr="00074D87">
        <w:rPr>
          <w:rFonts w:ascii="Arial" w:hAnsi="Arial" w:cs="Arial"/>
          <w:sz w:val="20"/>
          <w:szCs w:val="20"/>
        </w:rPr>
        <w:t xml:space="preserve"> los activos con corte al 31 de julio</w:t>
      </w:r>
      <w:r w:rsidR="007F3BD3">
        <w:rPr>
          <w:rFonts w:ascii="Arial" w:hAnsi="Arial" w:cs="Arial"/>
          <w:sz w:val="20"/>
          <w:szCs w:val="20"/>
        </w:rPr>
        <w:t>.</w:t>
      </w:r>
      <w:r w:rsidR="002D3EA0">
        <w:rPr>
          <w:rFonts w:ascii="Arial" w:hAnsi="Arial" w:cs="Arial"/>
          <w:sz w:val="20"/>
          <w:szCs w:val="20"/>
        </w:rPr>
        <w:t xml:space="preserve"> </w:t>
      </w:r>
    </w:p>
    <w:p w14:paraId="4A0D95E1" w14:textId="77777777" w:rsidR="00363D1F" w:rsidRDefault="00363D1F" w:rsidP="00D154C2">
      <w:pPr>
        <w:tabs>
          <w:tab w:val="left" w:pos="-720"/>
        </w:tabs>
        <w:suppressAutoHyphens/>
        <w:spacing w:after="0" w:line="240" w:lineRule="auto"/>
        <w:jc w:val="both"/>
        <w:rPr>
          <w:rFonts w:ascii="Arial" w:hAnsi="Arial" w:cs="Arial"/>
          <w:sz w:val="20"/>
          <w:szCs w:val="20"/>
        </w:rPr>
      </w:pPr>
    </w:p>
    <w:p w14:paraId="407D7DE3" w14:textId="62D85565" w:rsidR="00D154C2" w:rsidRDefault="00074D87" w:rsidP="00D154C2">
      <w:pPr>
        <w:tabs>
          <w:tab w:val="left" w:pos="-720"/>
        </w:tabs>
        <w:suppressAutoHyphens/>
        <w:spacing w:after="0" w:line="240" w:lineRule="auto"/>
        <w:jc w:val="both"/>
        <w:rPr>
          <w:rFonts w:ascii="Arial" w:hAnsi="Arial" w:cs="Arial"/>
          <w:spacing w:val="-3"/>
          <w:sz w:val="20"/>
          <w:szCs w:val="20"/>
        </w:rPr>
      </w:pPr>
      <w:r w:rsidRPr="00074D87">
        <w:rPr>
          <w:rFonts w:ascii="Arial" w:hAnsi="Arial" w:cs="Arial"/>
          <w:sz w:val="20"/>
          <w:szCs w:val="20"/>
        </w:rPr>
        <w:t>El resultado</w:t>
      </w:r>
      <w:r w:rsidR="000C4193">
        <w:rPr>
          <w:rFonts w:ascii="Arial" w:hAnsi="Arial" w:cs="Arial"/>
          <w:sz w:val="20"/>
          <w:szCs w:val="20"/>
        </w:rPr>
        <w:t xml:space="preserve"> del cálculo de la prima de iliquidez</w:t>
      </w:r>
      <w:r w:rsidRPr="00074D87">
        <w:rPr>
          <w:rFonts w:ascii="Arial" w:hAnsi="Arial" w:cs="Arial"/>
          <w:sz w:val="20"/>
          <w:szCs w:val="20"/>
        </w:rPr>
        <w:t xml:space="preserve"> debe</w:t>
      </w:r>
      <w:r w:rsidR="002A2727">
        <w:rPr>
          <w:rFonts w:ascii="Arial" w:hAnsi="Arial" w:cs="Arial"/>
          <w:sz w:val="20"/>
          <w:szCs w:val="20"/>
        </w:rPr>
        <w:t xml:space="preserve"> ser aplicado a la tasa de </w:t>
      </w:r>
      <w:r w:rsidR="002A730E">
        <w:rPr>
          <w:rFonts w:ascii="Arial" w:hAnsi="Arial" w:cs="Arial"/>
          <w:sz w:val="20"/>
          <w:szCs w:val="20"/>
        </w:rPr>
        <w:t>descuento en</w:t>
      </w:r>
      <w:r w:rsidR="002A2727">
        <w:rPr>
          <w:rFonts w:ascii="Arial" w:hAnsi="Arial" w:cs="Arial"/>
          <w:sz w:val="20"/>
          <w:szCs w:val="20"/>
        </w:rPr>
        <w:t xml:space="preserve"> la fecha de corte y</w:t>
      </w:r>
      <w:r w:rsidRPr="00074D87">
        <w:rPr>
          <w:rFonts w:ascii="Arial" w:hAnsi="Arial" w:cs="Arial"/>
          <w:sz w:val="20"/>
          <w:szCs w:val="20"/>
        </w:rPr>
        <w:t xml:space="preserve"> re</w:t>
      </w:r>
      <w:r w:rsidR="000A0EF7">
        <w:rPr>
          <w:rFonts w:ascii="Arial" w:hAnsi="Arial" w:cs="Arial"/>
          <w:sz w:val="20"/>
          <w:szCs w:val="20"/>
        </w:rPr>
        <w:t>mitido</w:t>
      </w:r>
      <w:r w:rsidR="003A323C">
        <w:rPr>
          <w:rFonts w:ascii="Arial" w:hAnsi="Arial" w:cs="Arial"/>
          <w:sz w:val="20"/>
          <w:szCs w:val="20"/>
        </w:rPr>
        <w:t xml:space="preserve"> mensualmente</w:t>
      </w:r>
      <w:r w:rsidR="000A0EF7">
        <w:rPr>
          <w:rFonts w:ascii="Arial" w:hAnsi="Arial" w:cs="Arial"/>
          <w:sz w:val="20"/>
          <w:szCs w:val="20"/>
        </w:rPr>
        <w:t xml:space="preserve"> </w:t>
      </w:r>
      <w:r w:rsidR="00114572">
        <w:rPr>
          <w:rFonts w:ascii="Arial" w:hAnsi="Arial" w:cs="Arial"/>
          <w:sz w:val="20"/>
          <w:szCs w:val="20"/>
        </w:rPr>
        <w:t>por parte del representante legal de la entidad</w:t>
      </w:r>
      <w:r w:rsidRPr="00074D87">
        <w:rPr>
          <w:rFonts w:ascii="Arial" w:hAnsi="Arial" w:cs="Arial"/>
          <w:sz w:val="20"/>
          <w:szCs w:val="20"/>
        </w:rPr>
        <w:t xml:space="preserve"> a la SFC dentro del plazo establecido para la transmisión de los estados financieros</w:t>
      </w:r>
      <w:r w:rsidR="00B00493">
        <w:rPr>
          <w:rFonts w:ascii="Arial" w:hAnsi="Arial" w:cs="Arial"/>
          <w:sz w:val="20"/>
          <w:szCs w:val="20"/>
        </w:rPr>
        <w:t>.</w:t>
      </w:r>
      <w:r w:rsidR="00606140">
        <w:rPr>
          <w:rFonts w:ascii="Arial" w:hAnsi="Arial" w:cs="Arial"/>
          <w:sz w:val="20"/>
          <w:szCs w:val="20"/>
        </w:rPr>
        <w:t xml:space="preserve"> </w:t>
      </w:r>
      <w:r w:rsidR="00B00493">
        <w:rPr>
          <w:rFonts w:ascii="Arial" w:hAnsi="Arial" w:cs="Arial"/>
          <w:sz w:val="20"/>
          <w:szCs w:val="20"/>
        </w:rPr>
        <w:t>L</w:t>
      </w:r>
      <w:r w:rsidR="00791D0E">
        <w:rPr>
          <w:rFonts w:ascii="Arial" w:hAnsi="Arial" w:cs="Arial"/>
          <w:sz w:val="20"/>
          <w:szCs w:val="20"/>
        </w:rPr>
        <w:t xml:space="preserve">a aplicación de </w:t>
      </w:r>
      <w:r w:rsidR="00454382">
        <w:rPr>
          <w:rFonts w:ascii="Arial" w:hAnsi="Arial" w:cs="Arial"/>
          <w:sz w:val="20"/>
          <w:szCs w:val="20"/>
        </w:rPr>
        <w:t>la metodología</w:t>
      </w:r>
      <w:r w:rsidR="00791D0E">
        <w:rPr>
          <w:rFonts w:ascii="Arial" w:hAnsi="Arial" w:cs="Arial"/>
          <w:sz w:val="20"/>
          <w:szCs w:val="20"/>
        </w:rPr>
        <w:t xml:space="preserve"> debe </w:t>
      </w:r>
      <w:r w:rsidR="00941ADE">
        <w:rPr>
          <w:rFonts w:ascii="Arial" w:hAnsi="Arial" w:cs="Arial"/>
          <w:sz w:val="20"/>
          <w:szCs w:val="20"/>
        </w:rPr>
        <w:t xml:space="preserve">estar a disposición </w:t>
      </w:r>
      <w:r w:rsidR="00F236EE">
        <w:rPr>
          <w:rFonts w:ascii="Arial" w:hAnsi="Arial" w:cs="Arial"/>
          <w:sz w:val="20"/>
          <w:szCs w:val="20"/>
        </w:rPr>
        <w:t xml:space="preserve">de </w:t>
      </w:r>
      <w:r w:rsidR="001464AB">
        <w:rPr>
          <w:rFonts w:ascii="Arial" w:hAnsi="Arial" w:cs="Arial"/>
          <w:sz w:val="20"/>
          <w:szCs w:val="20"/>
        </w:rPr>
        <w:t>esta Superintendencia</w:t>
      </w:r>
      <w:r w:rsidRPr="00074D87">
        <w:rPr>
          <w:rFonts w:ascii="Arial" w:hAnsi="Arial" w:cs="Arial"/>
          <w:sz w:val="20"/>
          <w:szCs w:val="20"/>
        </w:rPr>
        <w:t xml:space="preserve">. </w:t>
      </w:r>
    </w:p>
    <w:p w14:paraId="295347E8" w14:textId="77777777" w:rsidR="00D154C2" w:rsidRPr="00782881" w:rsidRDefault="00D154C2" w:rsidP="00D154C2">
      <w:pPr>
        <w:tabs>
          <w:tab w:val="left" w:pos="-720"/>
        </w:tabs>
        <w:suppressAutoHyphens/>
        <w:spacing w:after="0" w:line="240" w:lineRule="auto"/>
        <w:jc w:val="both"/>
        <w:rPr>
          <w:rFonts w:ascii="Arial" w:hAnsi="Arial" w:cs="Arial"/>
          <w:spacing w:val="-3"/>
          <w:sz w:val="20"/>
          <w:szCs w:val="20"/>
        </w:rPr>
      </w:pPr>
    </w:p>
    <w:p w14:paraId="64AB625D" w14:textId="2FD9ADBC" w:rsidR="002E0763" w:rsidRDefault="00D154C2" w:rsidP="00D154C2">
      <w:pPr>
        <w:jc w:val="both"/>
        <w:rPr>
          <w:rFonts w:ascii="Arial" w:hAnsi="Arial" w:cs="Arial"/>
          <w:sz w:val="20"/>
          <w:szCs w:val="20"/>
        </w:rPr>
      </w:pPr>
      <w:r w:rsidRPr="00A85342">
        <w:rPr>
          <w:rFonts w:ascii="Arial" w:hAnsi="Arial" w:cs="Arial"/>
          <w:sz w:val="20"/>
          <w:szCs w:val="20"/>
        </w:rPr>
        <w:t>La metodología para el cálculo de</w:t>
      </w:r>
      <w:r w:rsidR="0075337F">
        <w:rPr>
          <w:rFonts w:ascii="Arial" w:hAnsi="Arial" w:cs="Arial"/>
          <w:sz w:val="20"/>
          <w:szCs w:val="20"/>
        </w:rPr>
        <w:t xml:space="preserve"> la prima de iliquidez</w:t>
      </w:r>
      <w:r w:rsidRPr="00A85342">
        <w:rPr>
          <w:rFonts w:ascii="Arial" w:hAnsi="Arial" w:cs="Arial"/>
          <w:sz w:val="20"/>
          <w:szCs w:val="20"/>
        </w:rPr>
        <w:t xml:space="preserve"> aplica </w:t>
      </w:r>
      <w:r w:rsidR="00A65D03" w:rsidRPr="00A65D03">
        <w:rPr>
          <w:rFonts w:ascii="Arial" w:hAnsi="Arial" w:cs="Arial"/>
          <w:sz w:val="20"/>
          <w:szCs w:val="20"/>
        </w:rPr>
        <w:t xml:space="preserve">a los flujos derivados </w:t>
      </w:r>
      <w:r w:rsidR="00285CA6" w:rsidRPr="00285CA6">
        <w:rPr>
          <w:rFonts w:ascii="Arial" w:hAnsi="Arial" w:cs="Arial"/>
          <w:sz w:val="20"/>
          <w:szCs w:val="20"/>
        </w:rPr>
        <w:t xml:space="preserve">de pensiones de invalidez y </w:t>
      </w:r>
      <w:r w:rsidR="00285CA6" w:rsidRPr="00295C56">
        <w:rPr>
          <w:rFonts w:ascii="Arial" w:hAnsi="Arial" w:cs="Arial"/>
          <w:sz w:val="20"/>
          <w:szCs w:val="20"/>
        </w:rPr>
        <w:t>sobrevivencia, y que conlleven a indemnizaciones vitalicias, a los ramos de pensiones Ley 100, pensiones voluntarias y/o conmutación pensional y seguro educativo, así como prestaciones asistenciales de siniestros crónicos y vitalicios en el ramo de riesgos laborales</w:t>
      </w:r>
      <w:r w:rsidR="008756A3" w:rsidRPr="00295C56">
        <w:rPr>
          <w:rFonts w:ascii="Arial" w:hAnsi="Arial" w:cs="Arial"/>
          <w:sz w:val="20"/>
          <w:szCs w:val="20"/>
        </w:rPr>
        <w:t xml:space="preserve"> y de </w:t>
      </w:r>
      <w:r w:rsidR="008756A3" w:rsidRPr="00D611BE">
        <w:rPr>
          <w:rFonts w:ascii="Arial" w:hAnsi="Arial" w:cs="Arial"/>
          <w:sz w:val="20"/>
          <w:szCs w:val="20"/>
        </w:rPr>
        <w:t xml:space="preserve">igual forma para </w:t>
      </w:r>
      <w:r w:rsidR="00E412EF" w:rsidRPr="00D611BE">
        <w:rPr>
          <w:rFonts w:ascii="Arial" w:hAnsi="Arial" w:cs="Arial"/>
          <w:sz w:val="20"/>
          <w:szCs w:val="20"/>
        </w:rPr>
        <w:t>atenciones de largo plazo del ramo de salud.</w:t>
      </w:r>
    </w:p>
    <w:p w14:paraId="6F416E3D" w14:textId="1A4C96DC" w:rsidR="00D154C2" w:rsidRPr="001E4D0B" w:rsidRDefault="00D154C2" w:rsidP="00D154C2">
      <w:pPr>
        <w:pStyle w:val="Prrafodelista"/>
        <w:numPr>
          <w:ilvl w:val="0"/>
          <w:numId w:val="25"/>
        </w:numPr>
        <w:spacing w:after="160" w:line="259" w:lineRule="auto"/>
        <w:rPr>
          <w:rFonts w:ascii="Arial" w:hAnsi="Arial" w:cs="Arial"/>
          <w:b/>
          <w:bCs/>
          <w:sz w:val="20"/>
          <w:szCs w:val="20"/>
        </w:rPr>
      </w:pPr>
      <w:r w:rsidRPr="001E4D0B">
        <w:rPr>
          <w:rFonts w:ascii="Arial" w:hAnsi="Arial" w:cs="Arial"/>
          <w:b/>
          <w:bCs/>
          <w:sz w:val="20"/>
          <w:szCs w:val="20"/>
        </w:rPr>
        <w:t xml:space="preserve">Identificación de </w:t>
      </w:r>
      <w:r w:rsidR="00272153">
        <w:rPr>
          <w:rFonts w:ascii="Arial" w:hAnsi="Arial" w:cs="Arial"/>
          <w:b/>
          <w:bCs/>
          <w:sz w:val="20"/>
          <w:szCs w:val="20"/>
        </w:rPr>
        <w:t>activos y pasivos</w:t>
      </w:r>
      <w:r w:rsidRPr="001E4D0B">
        <w:rPr>
          <w:rFonts w:ascii="Arial" w:hAnsi="Arial" w:cs="Arial"/>
          <w:b/>
          <w:bCs/>
          <w:sz w:val="20"/>
          <w:szCs w:val="20"/>
        </w:rPr>
        <w:t xml:space="preserve"> elegibles</w:t>
      </w:r>
    </w:p>
    <w:p w14:paraId="3C2F11D2" w14:textId="44F7301A" w:rsidR="00D154C2" w:rsidRDefault="00453824" w:rsidP="00D154C2">
      <w:pPr>
        <w:jc w:val="both"/>
        <w:rPr>
          <w:rFonts w:ascii="Arial" w:hAnsi="Arial" w:cs="Arial"/>
          <w:sz w:val="20"/>
          <w:szCs w:val="20"/>
        </w:rPr>
      </w:pPr>
      <w:r>
        <w:rPr>
          <w:rFonts w:ascii="Arial" w:hAnsi="Arial" w:cs="Arial"/>
          <w:sz w:val="20"/>
          <w:szCs w:val="20"/>
        </w:rPr>
        <w:t>Las entidades aseguradoras deben s</w:t>
      </w:r>
      <w:r w:rsidR="00D154C2" w:rsidRPr="00576ED0">
        <w:rPr>
          <w:rFonts w:ascii="Arial" w:hAnsi="Arial" w:cs="Arial"/>
          <w:sz w:val="20"/>
          <w:szCs w:val="20"/>
        </w:rPr>
        <w:t xml:space="preserve">eleccionar </w:t>
      </w:r>
      <w:r w:rsidR="00251959">
        <w:rPr>
          <w:rFonts w:ascii="Arial" w:hAnsi="Arial" w:cs="Arial"/>
          <w:sz w:val="20"/>
          <w:szCs w:val="20"/>
        </w:rPr>
        <w:t xml:space="preserve">los </w:t>
      </w:r>
      <w:r w:rsidR="00D154C2" w:rsidRPr="00576ED0">
        <w:rPr>
          <w:rFonts w:ascii="Arial" w:hAnsi="Arial" w:cs="Arial"/>
          <w:sz w:val="20"/>
          <w:szCs w:val="20"/>
        </w:rPr>
        <w:t>activos y</w:t>
      </w:r>
      <w:r w:rsidR="00251959">
        <w:rPr>
          <w:rFonts w:ascii="Arial" w:hAnsi="Arial" w:cs="Arial"/>
          <w:sz w:val="20"/>
          <w:szCs w:val="20"/>
        </w:rPr>
        <w:t xml:space="preserve"> los</w:t>
      </w:r>
      <w:r w:rsidR="00D154C2" w:rsidRPr="00576ED0">
        <w:rPr>
          <w:rFonts w:ascii="Arial" w:hAnsi="Arial" w:cs="Arial"/>
          <w:sz w:val="20"/>
          <w:szCs w:val="20"/>
        </w:rPr>
        <w:t xml:space="preserve"> pasivos </w:t>
      </w:r>
      <w:r w:rsidR="00251959">
        <w:rPr>
          <w:rFonts w:ascii="Arial" w:hAnsi="Arial" w:cs="Arial"/>
          <w:sz w:val="20"/>
          <w:szCs w:val="20"/>
        </w:rPr>
        <w:t>como se describe a continuación</w:t>
      </w:r>
      <w:r w:rsidR="00595B2E">
        <w:rPr>
          <w:rFonts w:ascii="Arial" w:hAnsi="Arial" w:cs="Arial"/>
          <w:sz w:val="20"/>
          <w:szCs w:val="20"/>
        </w:rPr>
        <w:t xml:space="preserve">: </w:t>
      </w:r>
    </w:p>
    <w:p w14:paraId="74CB8246" w14:textId="77777777" w:rsidR="00D154C2" w:rsidRPr="001E4D0B" w:rsidRDefault="00D154C2" w:rsidP="00D154C2">
      <w:pPr>
        <w:pStyle w:val="Prrafodelista"/>
        <w:numPr>
          <w:ilvl w:val="1"/>
          <w:numId w:val="25"/>
        </w:numPr>
        <w:spacing w:after="160" w:line="259" w:lineRule="auto"/>
        <w:jc w:val="both"/>
        <w:rPr>
          <w:rFonts w:ascii="Arial" w:hAnsi="Arial" w:cs="Arial"/>
          <w:sz w:val="20"/>
          <w:szCs w:val="20"/>
        </w:rPr>
      </w:pPr>
      <w:r w:rsidRPr="001E4D0B">
        <w:rPr>
          <w:rFonts w:ascii="Arial" w:hAnsi="Arial" w:cs="Arial"/>
          <w:b/>
          <w:bCs/>
          <w:sz w:val="20"/>
          <w:szCs w:val="20"/>
        </w:rPr>
        <w:t xml:space="preserve">Selección de activos </w:t>
      </w:r>
    </w:p>
    <w:p w14:paraId="3E51A13B" w14:textId="7F63E05C" w:rsidR="00D154C2" w:rsidRDefault="00D154C2" w:rsidP="00D154C2">
      <w:pPr>
        <w:tabs>
          <w:tab w:val="left" w:pos="-720"/>
        </w:tabs>
        <w:suppressAutoHyphens/>
        <w:spacing w:after="0" w:line="240" w:lineRule="auto"/>
        <w:jc w:val="both"/>
        <w:rPr>
          <w:rFonts w:ascii="Arial" w:hAnsi="Arial" w:cs="Arial"/>
          <w:sz w:val="20"/>
          <w:szCs w:val="20"/>
        </w:rPr>
      </w:pPr>
      <w:r w:rsidRPr="002916A8">
        <w:rPr>
          <w:rFonts w:ascii="Arial" w:hAnsi="Arial" w:cs="Arial"/>
          <w:spacing w:val="-3"/>
          <w:sz w:val="20"/>
          <w:szCs w:val="20"/>
        </w:rPr>
        <w:t>Las entidades aseguradoras deben identificar los flujos futuros de los activos que respaldan la</w:t>
      </w:r>
      <w:r>
        <w:rPr>
          <w:rFonts w:ascii="Arial" w:hAnsi="Arial" w:cs="Arial"/>
          <w:spacing w:val="-3"/>
          <w:sz w:val="20"/>
          <w:szCs w:val="20"/>
        </w:rPr>
        <w:t>s</w:t>
      </w:r>
      <w:r w:rsidRPr="002916A8">
        <w:rPr>
          <w:rFonts w:ascii="Arial" w:hAnsi="Arial" w:cs="Arial"/>
          <w:spacing w:val="-3"/>
          <w:sz w:val="20"/>
          <w:szCs w:val="20"/>
        </w:rPr>
        <w:t xml:space="preserve"> reserva</w:t>
      </w:r>
      <w:r>
        <w:rPr>
          <w:rFonts w:ascii="Arial" w:hAnsi="Arial" w:cs="Arial"/>
          <w:spacing w:val="-3"/>
          <w:sz w:val="20"/>
          <w:szCs w:val="20"/>
        </w:rPr>
        <w:t xml:space="preserve">s técnicas de los productos </w:t>
      </w:r>
      <w:r w:rsidR="008A5152">
        <w:rPr>
          <w:rFonts w:ascii="Arial" w:hAnsi="Arial" w:cs="Arial"/>
          <w:spacing w:val="-3"/>
          <w:sz w:val="20"/>
          <w:szCs w:val="20"/>
        </w:rPr>
        <w:t xml:space="preserve">a los cuales se les aplicará </w:t>
      </w:r>
      <w:r w:rsidR="007C4EC3">
        <w:rPr>
          <w:rFonts w:ascii="Arial" w:hAnsi="Arial" w:cs="Arial"/>
          <w:spacing w:val="-3"/>
          <w:sz w:val="20"/>
          <w:szCs w:val="20"/>
        </w:rPr>
        <w:t xml:space="preserve">la </w:t>
      </w:r>
      <w:r w:rsidR="008A5152">
        <w:rPr>
          <w:rFonts w:ascii="Arial" w:hAnsi="Arial" w:cs="Arial"/>
          <w:spacing w:val="-3"/>
          <w:sz w:val="20"/>
          <w:szCs w:val="20"/>
        </w:rPr>
        <w:t>prima de iliquidez</w:t>
      </w:r>
      <w:r w:rsidRPr="002916A8">
        <w:rPr>
          <w:rFonts w:ascii="Arial" w:hAnsi="Arial" w:cs="Arial"/>
          <w:spacing w:val="-3"/>
          <w:sz w:val="20"/>
          <w:szCs w:val="20"/>
        </w:rPr>
        <w:t xml:space="preserve">. </w:t>
      </w:r>
      <w:r>
        <w:rPr>
          <w:rFonts w:ascii="Arial" w:hAnsi="Arial" w:cs="Arial"/>
          <w:spacing w:val="-3"/>
          <w:sz w:val="20"/>
          <w:szCs w:val="20"/>
        </w:rPr>
        <w:t>Los</w:t>
      </w:r>
      <w:r w:rsidRPr="002916A8">
        <w:rPr>
          <w:rFonts w:ascii="Arial" w:hAnsi="Arial" w:cs="Arial"/>
          <w:spacing w:val="-3"/>
          <w:sz w:val="20"/>
          <w:szCs w:val="20"/>
        </w:rPr>
        <w:t xml:space="preserve"> flujos de activos serán los </w:t>
      </w:r>
      <w:r>
        <w:rPr>
          <w:rFonts w:ascii="Arial" w:hAnsi="Arial" w:cs="Arial"/>
          <w:spacing w:val="-3"/>
          <w:sz w:val="20"/>
          <w:szCs w:val="20"/>
        </w:rPr>
        <w:t xml:space="preserve">que correspondan a </w:t>
      </w:r>
      <w:r w:rsidRPr="002916A8">
        <w:rPr>
          <w:rFonts w:ascii="Arial" w:hAnsi="Arial" w:cs="Arial"/>
          <w:spacing w:val="-3"/>
          <w:sz w:val="20"/>
          <w:szCs w:val="20"/>
        </w:rPr>
        <w:t xml:space="preserve">las </w:t>
      </w:r>
      <w:r w:rsidRPr="000F34FE">
        <w:rPr>
          <w:rFonts w:ascii="Arial" w:hAnsi="Arial" w:cs="Arial"/>
          <w:spacing w:val="-3"/>
          <w:sz w:val="20"/>
          <w:szCs w:val="20"/>
        </w:rPr>
        <w:t>inversiones admisibles de las reservas técnicas establecidas en el artículo 2.31.3.1.2 del Decreto 2555 de 2010</w:t>
      </w:r>
      <w:r w:rsidR="003B7469" w:rsidRPr="00D2013D">
        <w:rPr>
          <w:rFonts w:ascii="Arial" w:hAnsi="Arial" w:cs="Arial"/>
          <w:spacing w:val="-3"/>
          <w:sz w:val="20"/>
          <w:szCs w:val="20"/>
        </w:rPr>
        <w:t>. Estos fl</w:t>
      </w:r>
      <w:r w:rsidR="000A5599" w:rsidRPr="00D2013D">
        <w:rPr>
          <w:rFonts w:ascii="Arial" w:hAnsi="Arial" w:cs="Arial"/>
          <w:spacing w:val="-3"/>
          <w:sz w:val="20"/>
          <w:szCs w:val="20"/>
        </w:rPr>
        <w:t>u</w:t>
      </w:r>
      <w:r w:rsidR="003B7469" w:rsidRPr="00D2013D">
        <w:rPr>
          <w:rFonts w:ascii="Arial" w:hAnsi="Arial" w:cs="Arial"/>
          <w:spacing w:val="-3"/>
          <w:sz w:val="20"/>
          <w:szCs w:val="20"/>
        </w:rPr>
        <w:t xml:space="preserve">jos no deben incluir el activo </w:t>
      </w:r>
      <w:r w:rsidR="00327654">
        <w:rPr>
          <w:rFonts w:ascii="Arial" w:hAnsi="Arial" w:cs="Arial"/>
          <w:spacing w:val="-3"/>
          <w:sz w:val="20"/>
          <w:szCs w:val="20"/>
        </w:rPr>
        <w:t xml:space="preserve">por </w:t>
      </w:r>
      <w:r w:rsidR="00327654" w:rsidRPr="00D2013D">
        <w:rPr>
          <w:rFonts w:ascii="Arial" w:hAnsi="Arial" w:cs="Arial"/>
          <w:spacing w:val="-3"/>
          <w:sz w:val="20"/>
          <w:szCs w:val="20"/>
        </w:rPr>
        <w:t>las</w:t>
      </w:r>
      <w:r w:rsidR="0082776B" w:rsidRPr="00D2013D">
        <w:rPr>
          <w:rFonts w:ascii="Arial" w:hAnsi="Arial" w:cs="Arial"/>
          <w:spacing w:val="-3"/>
          <w:sz w:val="20"/>
          <w:szCs w:val="20"/>
        </w:rPr>
        <w:t xml:space="preserve"> </w:t>
      </w:r>
      <w:r w:rsidR="003B7469" w:rsidRPr="00D2013D">
        <w:rPr>
          <w:rFonts w:ascii="Arial" w:hAnsi="Arial" w:cs="Arial"/>
          <w:spacing w:val="-3"/>
          <w:sz w:val="20"/>
          <w:szCs w:val="20"/>
        </w:rPr>
        <w:t>contingen</w:t>
      </w:r>
      <w:r w:rsidR="0082776B" w:rsidRPr="00D2013D">
        <w:rPr>
          <w:rFonts w:ascii="Arial" w:hAnsi="Arial" w:cs="Arial"/>
          <w:spacing w:val="-3"/>
          <w:sz w:val="20"/>
          <w:szCs w:val="20"/>
        </w:rPr>
        <w:t>cias a cargo del reasegurador</w:t>
      </w:r>
      <w:r w:rsidRPr="00D2013D">
        <w:rPr>
          <w:rFonts w:ascii="Arial" w:hAnsi="Arial" w:cs="Arial"/>
          <w:spacing w:val="-3"/>
          <w:sz w:val="20"/>
          <w:szCs w:val="20"/>
        </w:rPr>
        <w:t xml:space="preserve">. Estos </w:t>
      </w:r>
      <w:r w:rsidRPr="00D2013D">
        <w:rPr>
          <w:rFonts w:ascii="Arial" w:hAnsi="Arial" w:cs="Arial"/>
          <w:sz w:val="20"/>
          <w:szCs w:val="20"/>
        </w:rPr>
        <w:t>activos deben cumplir las siguientes condiciones:</w:t>
      </w:r>
    </w:p>
    <w:p w14:paraId="5CA31A31" w14:textId="77777777" w:rsidR="00D154C2" w:rsidRPr="001541EC" w:rsidRDefault="00D154C2" w:rsidP="00D154C2">
      <w:pPr>
        <w:tabs>
          <w:tab w:val="left" w:pos="-720"/>
        </w:tabs>
        <w:suppressAutoHyphens/>
        <w:spacing w:after="0" w:line="240" w:lineRule="auto"/>
        <w:jc w:val="both"/>
        <w:rPr>
          <w:rFonts w:ascii="Arial" w:hAnsi="Arial" w:cs="Arial"/>
          <w:spacing w:val="-3"/>
          <w:sz w:val="20"/>
          <w:szCs w:val="20"/>
        </w:rPr>
      </w:pPr>
    </w:p>
    <w:p w14:paraId="7830A7C2" w14:textId="29976198" w:rsidR="00D154C2" w:rsidRPr="001541EC" w:rsidRDefault="005D2F79" w:rsidP="00D154C2">
      <w:pPr>
        <w:pStyle w:val="Prrafodelista"/>
        <w:numPr>
          <w:ilvl w:val="2"/>
          <w:numId w:val="25"/>
        </w:numPr>
        <w:spacing w:after="160" w:line="259" w:lineRule="auto"/>
        <w:jc w:val="both"/>
        <w:rPr>
          <w:rFonts w:ascii="Arial" w:hAnsi="Arial" w:cs="Arial"/>
          <w:sz w:val="20"/>
          <w:szCs w:val="20"/>
        </w:rPr>
      </w:pPr>
      <w:r>
        <w:rPr>
          <w:rFonts w:ascii="Arial" w:hAnsi="Arial" w:cs="Arial"/>
          <w:sz w:val="20"/>
          <w:szCs w:val="20"/>
        </w:rPr>
        <w:t>El portafolio</w:t>
      </w:r>
      <w:r w:rsidR="00D154C2" w:rsidRPr="001541EC">
        <w:rPr>
          <w:rFonts w:ascii="Arial" w:hAnsi="Arial" w:cs="Arial"/>
          <w:sz w:val="20"/>
          <w:szCs w:val="20"/>
        </w:rPr>
        <w:t xml:space="preserve"> de activos asignad</w:t>
      </w:r>
      <w:r>
        <w:rPr>
          <w:rFonts w:ascii="Arial" w:hAnsi="Arial" w:cs="Arial"/>
          <w:sz w:val="20"/>
          <w:szCs w:val="20"/>
        </w:rPr>
        <w:t>o</w:t>
      </w:r>
      <w:r w:rsidR="00D154C2" w:rsidRPr="001541EC">
        <w:rPr>
          <w:rFonts w:ascii="Arial" w:hAnsi="Arial" w:cs="Arial"/>
          <w:sz w:val="20"/>
          <w:szCs w:val="20"/>
        </w:rPr>
        <w:t xml:space="preserve"> debe ser aquel que cubre la mejor estimación de la</w:t>
      </w:r>
      <w:r w:rsidR="00571564">
        <w:rPr>
          <w:rFonts w:ascii="Arial" w:hAnsi="Arial" w:cs="Arial"/>
          <w:sz w:val="20"/>
          <w:szCs w:val="20"/>
        </w:rPr>
        <w:t>s</w:t>
      </w:r>
      <w:r w:rsidR="00D154C2" w:rsidRPr="001541EC">
        <w:rPr>
          <w:rFonts w:ascii="Arial" w:hAnsi="Arial" w:cs="Arial"/>
          <w:sz w:val="20"/>
          <w:szCs w:val="20"/>
        </w:rPr>
        <w:t xml:space="preserve"> </w:t>
      </w:r>
      <w:r w:rsidR="00571564">
        <w:rPr>
          <w:rFonts w:ascii="Arial" w:hAnsi="Arial" w:cs="Arial"/>
          <w:sz w:val="20"/>
          <w:szCs w:val="20"/>
        </w:rPr>
        <w:t>o</w:t>
      </w:r>
      <w:r w:rsidR="00D154C2" w:rsidRPr="529BABFE">
        <w:rPr>
          <w:rFonts w:ascii="Arial" w:hAnsi="Arial" w:cs="Arial"/>
          <w:sz w:val="20"/>
          <w:szCs w:val="20"/>
        </w:rPr>
        <w:t>bligaciones</w:t>
      </w:r>
      <w:r w:rsidR="00571564">
        <w:rPr>
          <w:rFonts w:ascii="Arial" w:hAnsi="Arial" w:cs="Arial"/>
          <w:sz w:val="20"/>
          <w:szCs w:val="20"/>
        </w:rPr>
        <w:t xml:space="preserve"> futuras</w:t>
      </w:r>
      <w:r w:rsidR="00D154C2" w:rsidRPr="001541EC">
        <w:rPr>
          <w:rFonts w:ascii="Arial" w:hAnsi="Arial" w:cs="Arial"/>
          <w:sz w:val="20"/>
          <w:szCs w:val="20"/>
        </w:rPr>
        <w:t>,</w:t>
      </w:r>
      <w:r w:rsidR="00F4575F">
        <w:rPr>
          <w:rFonts w:ascii="Arial" w:hAnsi="Arial" w:cs="Arial"/>
          <w:sz w:val="20"/>
          <w:szCs w:val="20"/>
        </w:rPr>
        <w:t xml:space="preserve"> </w:t>
      </w:r>
      <w:r w:rsidR="00D154C2" w:rsidRPr="001541EC">
        <w:rPr>
          <w:rFonts w:ascii="Arial" w:hAnsi="Arial" w:cs="Arial"/>
          <w:sz w:val="20"/>
          <w:szCs w:val="20"/>
        </w:rPr>
        <w:t>incluye</w:t>
      </w:r>
      <w:r w:rsidR="002E080F">
        <w:rPr>
          <w:rFonts w:ascii="Arial" w:hAnsi="Arial" w:cs="Arial"/>
          <w:sz w:val="20"/>
          <w:szCs w:val="20"/>
        </w:rPr>
        <w:t>ndo</w:t>
      </w:r>
      <w:r w:rsidR="00D154C2" w:rsidRPr="001541EC">
        <w:rPr>
          <w:rFonts w:ascii="Arial" w:hAnsi="Arial" w:cs="Arial"/>
          <w:sz w:val="20"/>
          <w:szCs w:val="20"/>
        </w:rPr>
        <w:t xml:space="preserve"> bonos y otros activos con características </w:t>
      </w:r>
      <w:r w:rsidR="00A45063">
        <w:rPr>
          <w:rFonts w:ascii="Arial" w:hAnsi="Arial" w:cs="Arial"/>
          <w:sz w:val="20"/>
          <w:szCs w:val="20"/>
        </w:rPr>
        <w:t>similares en t</w:t>
      </w:r>
      <w:r w:rsidR="002250D3">
        <w:rPr>
          <w:rFonts w:ascii="Arial" w:hAnsi="Arial" w:cs="Arial"/>
          <w:sz w:val="20"/>
          <w:szCs w:val="20"/>
        </w:rPr>
        <w:t xml:space="preserve">érminos </w:t>
      </w:r>
      <w:r w:rsidR="003E741A">
        <w:rPr>
          <w:rFonts w:ascii="Arial" w:hAnsi="Arial" w:cs="Arial"/>
          <w:sz w:val="20"/>
          <w:szCs w:val="20"/>
        </w:rPr>
        <w:t>de</w:t>
      </w:r>
      <w:r w:rsidR="00897A5E">
        <w:rPr>
          <w:rFonts w:ascii="Arial" w:hAnsi="Arial" w:cs="Arial"/>
          <w:sz w:val="20"/>
          <w:szCs w:val="20"/>
        </w:rPr>
        <w:t>l</w:t>
      </w:r>
      <w:r w:rsidR="003E741A">
        <w:rPr>
          <w:rFonts w:ascii="Arial" w:hAnsi="Arial" w:cs="Arial"/>
          <w:sz w:val="20"/>
          <w:szCs w:val="20"/>
        </w:rPr>
        <w:t xml:space="preserve"> </w:t>
      </w:r>
      <w:r w:rsidR="00D154C2" w:rsidRPr="001541EC">
        <w:rPr>
          <w:rFonts w:ascii="Arial" w:hAnsi="Arial" w:cs="Arial"/>
          <w:sz w:val="20"/>
          <w:szCs w:val="20"/>
        </w:rPr>
        <w:t>flujo de efectivo dura</w:t>
      </w:r>
      <w:r w:rsidR="00D154C2">
        <w:rPr>
          <w:rFonts w:ascii="Arial" w:hAnsi="Arial" w:cs="Arial"/>
          <w:sz w:val="20"/>
          <w:szCs w:val="20"/>
        </w:rPr>
        <w:t>nte la vida de las obligaciones</w:t>
      </w:r>
      <w:r w:rsidR="00D154C2" w:rsidRPr="001541EC">
        <w:rPr>
          <w:rFonts w:ascii="Arial" w:hAnsi="Arial" w:cs="Arial"/>
          <w:sz w:val="20"/>
          <w:szCs w:val="20"/>
        </w:rPr>
        <w:t>.</w:t>
      </w:r>
    </w:p>
    <w:p w14:paraId="7DA0B522" w14:textId="77777777" w:rsidR="00D154C2" w:rsidRPr="00AC5327" w:rsidRDefault="00D154C2" w:rsidP="00D154C2">
      <w:pPr>
        <w:pStyle w:val="Prrafodelista"/>
        <w:ind w:left="360"/>
        <w:jc w:val="both"/>
        <w:rPr>
          <w:rFonts w:ascii="Arial" w:hAnsi="Arial" w:cs="Arial"/>
          <w:sz w:val="20"/>
          <w:szCs w:val="20"/>
        </w:rPr>
      </w:pPr>
    </w:p>
    <w:p w14:paraId="4280C983" w14:textId="5AE3FF0A" w:rsidR="000F34FE" w:rsidRDefault="00E946A5" w:rsidP="000F34FE">
      <w:pPr>
        <w:pStyle w:val="Prrafodelista"/>
        <w:numPr>
          <w:ilvl w:val="2"/>
          <w:numId w:val="25"/>
        </w:numPr>
        <w:spacing w:after="160" w:line="259" w:lineRule="auto"/>
        <w:jc w:val="both"/>
        <w:rPr>
          <w:rFonts w:ascii="Arial" w:hAnsi="Arial" w:cs="Arial"/>
          <w:sz w:val="20"/>
          <w:szCs w:val="20"/>
        </w:rPr>
      </w:pPr>
      <w:r>
        <w:rPr>
          <w:rFonts w:ascii="Arial" w:hAnsi="Arial" w:cs="Arial"/>
          <w:sz w:val="20"/>
          <w:szCs w:val="20"/>
        </w:rPr>
        <w:lastRenderedPageBreak/>
        <w:t>El portafolio</w:t>
      </w:r>
      <w:r w:rsidR="00D154C2" w:rsidRPr="002916A8">
        <w:rPr>
          <w:rFonts w:ascii="Arial" w:hAnsi="Arial" w:cs="Arial"/>
          <w:sz w:val="20"/>
          <w:szCs w:val="20"/>
        </w:rPr>
        <w:t xml:space="preserve"> de activos asignad</w:t>
      </w:r>
      <w:r w:rsidR="00A70D84">
        <w:rPr>
          <w:rFonts w:ascii="Arial" w:hAnsi="Arial" w:cs="Arial"/>
          <w:sz w:val="20"/>
          <w:szCs w:val="20"/>
        </w:rPr>
        <w:t>o</w:t>
      </w:r>
      <w:r w:rsidR="00D154C2" w:rsidRPr="002916A8">
        <w:rPr>
          <w:rFonts w:ascii="Arial" w:hAnsi="Arial" w:cs="Arial"/>
          <w:sz w:val="20"/>
          <w:szCs w:val="20"/>
        </w:rPr>
        <w:t xml:space="preserve"> </w:t>
      </w:r>
      <w:r w:rsidR="00327654">
        <w:rPr>
          <w:rFonts w:ascii="Arial" w:hAnsi="Arial" w:cs="Arial"/>
          <w:sz w:val="20"/>
          <w:szCs w:val="20"/>
        </w:rPr>
        <w:t xml:space="preserve">se </w:t>
      </w:r>
      <w:r w:rsidR="00D154C2" w:rsidRPr="002916A8">
        <w:rPr>
          <w:rFonts w:ascii="Arial" w:hAnsi="Arial" w:cs="Arial"/>
          <w:sz w:val="20"/>
          <w:szCs w:val="20"/>
        </w:rPr>
        <w:t xml:space="preserve">debe identificar, organizar y gestionar de manera separada de los demás activos de la </w:t>
      </w:r>
      <w:r w:rsidR="00453824">
        <w:rPr>
          <w:rFonts w:ascii="Arial" w:hAnsi="Arial" w:cs="Arial"/>
          <w:sz w:val="20"/>
          <w:szCs w:val="20"/>
        </w:rPr>
        <w:t xml:space="preserve">entidad </w:t>
      </w:r>
      <w:r w:rsidR="00D154C2">
        <w:rPr>
          <w:rFonts w:ascii="Arial" w:hAnsi="Arial" w:cs="Arial"/>
          <w:sz w:val="20"/>
          <w:szCs w:val="20"/>
        </w:rPr>
        <w:t>aseguradora</w:t>
      </w:r>
      <w:r w:rsidR="00A469EC">
        <w:rPr>
          <w:rFonts w:ascii="Arial" w:hAnsi="Arial" w:cs="Arial"/>
          <w:sz w:val="20"/>
          <w:szCs w:val="20"/>
        </w:rPr>
        <w:t>.</w:t>
      </w:r>
      <w:r w:rsidR="00D154C2">
        <w:rPr>
          <w:rFonts w:ascii="Arial" w:hAnsi="Arial" w:cs="Arial"/>
          <w:sz w:val="20"/>
          <w:szCs w:val="20"/>
        </w:rPr>
        <w:t xml:space="preserve"> </w:t>
      </w:r>
      <w:r w:rsidR="00A469EC">
        <w:rPr>
          <w:rFonts w:ascii="Arial" w:hAnsi="Arial" w:cs="Arial"/>
          <w:sz w:val="20"/>
          <w:szCs w:val="20"/>
        </w:rPr>
        <w:t>A</w:t>
      </w:r>
      <w:r w:rsidR="00D154C2">
        <w:rPr>
          <w:rFonts w:ascii="Arial" w:hAnsi="Arial" w:cs="Arial"/>
          <w:sz w:val="20"/>
          <w:szCs w:val="20"/>
        </w:rPr>
        <w:t>demás</w:t>
      </w:r>
      <w:r w:rsidR="00A469EC">
        <w:rPr>
          <w:rFonts w:ascii="Arial" w:hAnsi="Arial" w:cs="Arial"/>
          <w:sz w:val="20"/>
          <w:szCs w:val="20"/>
        </w:rPr>
        <w:t>,</w:t>
      </w:r>
      <w:r w:rsidR="00D154C2" w:rsidRPr="002916A8">
        <w:rPr>
          <w:rFonts w:ascii="Arial" w:hAnsi="Arial" w:cs="Arial"/>
          <w:sz w:val="20"/>
          <w:szCs w:val="20"/>
        </w:rPr>
        <w:t xml:space="preserve"> </w:t>
      </w:r>
      <w:r w:rsidR="001247CB">
        <w:rPr>
          <w:rFonts w:ascii="Arial" w:hAnsi="Arial" w:cs="Arial"/>
          <w:sz w:val="20"/>
          <w:szCs w:val="20"/>
        </w:rPr>
        <w:t>e</w:t>
      </w:r>
      <w:r w:rsidR="00290A62">
        <w:rPr>
          <w:rFonts w:ascii="Arial" w:hAnsi="Arial" w:cs="Arial"/>
          <w:sz w:val="20"/>
          <w:szCs w:val="20"/>
        </w:rPr>
        <w:t>ste</w:t>
      </w:r>
      <w:r w:rsidR="001247CB">
        <w:rPr>
          <w:rFonts w:ascii="Arial" w:hAnsi="Arial" w:cs="Arial"/>
          <w:sz w:val="20"/>
          <w:szCs w:val="20"/>
        </w:rPr>
        <w:t xml:space="preserve"> portafolio</w:t>
      </w:r>
      <w:r w:rsidR="00D154C2" w:rsidRPr="002916A8">
        <w:rPr>
          <w:rFonts w:ascii="Arial" w:hAnsi="Arial" w:cs="Arial"/>
          <w:sz w:val="20"/>
          <w:szCs w:val="20"/>
        </w:rPr>
        <w:t xml:space="preserve"> no </w:t>
      </w:r>
      <w:r w:rsidR="005E6655">
        <w:rPr>
          <w:rFonts w:ascii="Arial" w:hAnsi="Arial" w:cs="Arial"/>
          <w:sz w:val="20"/>
          <w:szCs w:val="20"/>
        </w:rPr>
        <w:t xml:space="preserve">se </w:t>
      </w:r>
      <w:r w:rsidR="00D154C2" w:rsidRPr="002916A8">
        <w:rPr>
          <w:rFonts w:ascii="Arial" w:hAnsi="Arial" w:cs="Arial"/>
          <w:sz w:val="20"/>
          <w:szCs w:val="20"/>
        </w:rPr>
        <w:t>puede utilizar para cubrir pérdidas derivadas de otras actividades de la entidad.</w:t>
      </w:r>
    </w:p>
    <w:p w14:paraId="61BF7843" w14:textId="77777777" w:rsidR="000F34FE" w:rsidRPr="000F34FE" w:rsidRDefault="000F34FE" w:rsidP="000F34FE">
      <w:pPr>
        <w:pStyle w:val="Prrafodelista"/>
        <w:rPr>
          <w:rFonts w:ascii="Arial" w:hAnsi="Arial" w:cs="Arial"/>
          <w:sz w:val="20"/>
          <w:szCs w:val="20"/>
          <w:highlight w:val="yellow"/>
        </w:rPr>
      </w:pPr>
    </w:p>
    <w:p w14:paraId="3FB6AE51" w14:textId="22AB2512" w:rsidR="000F34FE" w:rsidRPr="006B1023" w:rsidRDefault="000F34FE" w:rsidP="00BA1B9F">
      <w:pPr>
        <w:pStyle w:val="Prrafodelista"/>
        <w:numPr>
          <w:ilvl w:val="2"/>
          <w:numId w:val="25"/>
        </w:numPr>
        <w:spacing w:after="160" w:line="259" w:lineRule="auto"/>
        <w:jc w:val="both"/>
        <w:rPr>
          <w:rFonts w:ascii="Arial" w:hAnsi="Arial" w:cs="Arial"/>
          <w:sz w:val="20"/>
          <w:szCs w:val="20"/>
        </w:rPr>
      </w:pPr>
      <w:r w:rsidRPr="006B1023">
        <w:rPr>
          <w:rFonts w:ascii="Arial" w:hAnsi="Arial" w:cs="Arial"/>
          <w:sz w:val="20"/>
          <w:szCs w:val="20"/>
        </w:rPr>
        <w:t xml:space="preserve">Los flujos de efectivo del portafolio de </w:t>
      </w:r>
      <w:r w:rsidR="001B76BD">
        <w:rPr>
          <w:rFonts w:ascii="Arial" w:hAnsi="Arial" w:cs="Arial"/>
          <w:sz w:val="20"/>
          <w:szCs w:val="20"/>
        </w:rPr>
        <w:t xml:space="preserve">los </w:t>
      </w:r>
      <w:r w:rsidRPr="006B1023">
        <w:rPr>
          <w:rFonts w:ascii="Arial" w:hAnsi="Arial" w:cs="Arial"/>
          <w:sz w:val="20"/>
          <w:szCs w:val="20"/>
        </w:rPr>
        <w:t>activos asignado</w:t>
      </w:r>
      <w:r w:rsidR="00832ACE">
        <w:rPr>
          <w:rFonts w:ascii="Arial" w:hAnsi="Arial" w:cs="Arial"/>
          <w:sz w:val="20"/>
          <w:szCs w:val="20"/>
        </w:rPr>
        <w:t>s</w:t>
      </w:r>
      <w:r w:rsidRPr="006B1023">
        <w:rPr>
          <w:rFonts w:ascii="Arial" w:hAnsi="Arial" w:cs="Arial"/>
          <w:sz w:val="20"/>
          <w:szCs w:val="20"/>
        </w:rPr>
        <w:t xml:space="preserve"> no pueden ser modificados por la entidad, salvo que</w:t>
      </w:r>
      <w:r w:rsidR="00F17923">
        <w:rPr>
          <w:rFonts w:ascii="Arial" w:hAnsi="Arial" w:cs="Arial"/>
          <w:sz w:val="20"/>
          <w:szCs w:val="20"/>
        </w:rPr>
        <w:t xml:space="preserve"> esta</w:t>
      </w:r>
      <w:r w:rsidRPr="006B1023">
        <w:rPr>
          <w:rFonts w:ascii="Arial" w:hAnsi="Arial" w:cs="Arial"/>
          <w:sz w:val="20"/>
          <w:szCs w:val="20"/>
        </w:rPr>
        <w:t xml:space="preserve"> reciba una compensación suficiente que le permita obtener los mismos flujos de efectivo reinvirtiendo en activos de calidad crediticia equivalente o mejor.</w:t>
      </w:r>
      <w:r w:rsidR="00483D81">
        <w:rPr>
          <w:rFonts w:ascii="Arial" w:hAnsi="Arial" w:cs="Arial"/>
          <w:sz w:val="20"/>
          <w:szCs w:val="20"/>
        </w:rPr>
        <w:t xml:space="preserve"> </w:t>
      </w:r>
      <w:r w:rsidR="000E6BC3">
        <w:rPr>
          <w:rFonts w:ascii="Arial" w:hAnsi="Arial" w:cs="Arial"/>
          <w:sz w:val="20"/>
          <w:szCs w:val="20"/>
        </w:rPr>
        <w:t xml:space="preserve">Los activos </w:t>
      </w:r>
      <w:r w:rsidR="00FC05B5">
        <w:rPr>
          <w:rFonts w:ascii="Arial" w:hAnsi="Arial" w:cs="Arial"/>
          <w:sz w:val="20"/>
          <w:szCs w:val="20"/>
        </w:rPr>
        <w:t xml:space="preserve">que cumplan los requisitos del presente </w:t>
      </w:r>
      <w:r w:rsidR="00473DF8">
        <w:rPr>
          <w:rFonts w:ascii="Arial" w:hAnsi="Arial" w:cs="Arial"/>
          <w:sz w:val="20"/>
          <w:szCs w:val="20"/>
        </w:rPr>
        <w:t>a</w:t>
      </w:r>
      <w:r w:rsidR="00FC05B5">
        <w:rPr>
          <w:rFonts w:ascii="Arial" w:hAnsi="Arial" w:cs="Arial"/>
          <w:sz w:val="20"/>
          <w:szCs w:val="20"/>
        </w:rPr>
        <w:t xml:space="preserve">nexo y que sean asignados </w:t>
      </w:r>
      <w:r w:rsidR="000E6BC3">
        <w:rPr>
          <w:rFonts w:ascii="Arial" w:hAnsi="Arial" w:cs="Arial"/>
          <w:sz w:val="20"/>
          <w:szCs w:val="20"/>
        </w:rPr>
        <w:t xml:space="preserve">para el cálculo </w:t>
      </w:r>
      <w:r w:rsidR="006F2711">
        <w:rPr>
          <w:rFonts w:ascii="Arial" w:hAnsi="Arial" w:cs="Arial"/>
          <w:sz w:val="20"/>
          <w:szCs w:val="20"/>
        </w:rPr>
        <w:t xml:space="preserve">de la prima de iliquidez </w:t>
      </w:r>
      <w:r w:rsidR="0010735B">
        <w:rPr>
          <w:rFonts w:ascii="Arial" w:hAnsi="Arial" w:cs="Arial"/>
          <w:sz w:val="20"/>
          <w:szCs w:val="20"/>
        </w:rPr>
        <w:t xml:space="preserve">deben permanecer </w:t>
      </w:r>
      <w:r w:rsidR="00AC0B67">
        <w:rPr>
          <w:rFonts w:ascii="Arial" w:hAnsi="Arial" w:cs="Arial"/>
          <w:sz w:val="20"/>
          <w:szCs w:val="20"/>
        </w:rPr>
        <w:t>en el portafolio</w:t>
      </w:r>
      <w:r w:rsidR="00D616C3">
        <w:rPr>
          <w:rFonts w:ascii="Arial" w:hAnsi="Arial" w:cs="Arial"/>
          <w:sz w:val="20"/>
          <w:szCs w:val="20"/>
        </w:rPr>
        <w:t xml:space="preserve"> de la entidad.</w:t>
      </w:r>
    </w:p>
    <w:p w14:paraId="47E48E82" w14:textId="77777777" w:rsidR="00E751BD" w:rsidRPr="00E751BD" w:rsidRDefault="00E751BD" w:rsidP="00E751BD">
      <w:pPr>
        <w:pStyle w:val="Prrafodelista"/>
        <w:rPr>
          <w:rFonts w:ascii="Arial" w:hAnsi="Arial" w:cs="Arial"/>
          <w:sz w:val="20"/>
          <w:szCs w:val="20"/>
        </w:rPr>
      </w:pPr>
    </w:p>
    <w:p w14:paraId="3FD6AABE" w14:textId="0487656B" w:rsidR="00C06D5B" w:rsidRDefault="00E751BD" w:rsidP="529BABFE">
      <w:pPr>
        <w:pStyle w:val="Prrafodelista"/>
        <w:numPr>
          <w:ilvl w:val="2"/>
          <w:numId w:val="25"/>
        </w:numPr>
        <w:suppressAutoHyphens/>
        <w:spacing w:after="0" w:line="240" w:lineRule="auto"/>
        <w:jc w:val="both"/>
        <w:rPr>
          <w:rFonts w:ascii="Arial" w:hAnsi="Arial" w:cs="Arial"/>
          <w:spacing w:val="-3"/>
          <w:sz w:val="20"/>
          <w:szCs w:val="20"/>
        </w:rPr>
      </w:pPr>
      <w:r w:rsidRPr="00FA3CF0">
        <w:rPr>
          <w:rFonts w:ascii="Arial" w:hAnsi="Arial" w:cs="Arial"/>
          <w:spacing w:val="-3"/>
          <w:sz w:val="20"/>
          <w:szCs w:val="20"/>
        </w:rPr>
        <w:t xml:space="preserve">Los activos se clasificarán </w:t>
      </w:r>
      <w:r w:rsidR="00FA6049">
        <w:rPr>
          <w:rFonts w:ascii="Arial" w:hAnsi="Arial" w:cs="Arial"/>
          <w:spacing w:val="-3"/>
          <w:sz w:val="20"/>
          <w:szCs w:val="20"/>
        </w:rPr>
        <w:t xml:space="preserve">en función de si se </w:t>
      </w:r>
      <w:r w:rsidRPr="00FA3CF0">
        <w:rPr>
          <w:rFonts w:ascii="Arial" w:hAnsi="Arial" w:cs="Arial"/>
          <w:spacing w:val="-3"/>
          <w:sz w:val="20"/>
          <w:szCs w:val="20"/>
        </w:rPr>
        <w:t>cono</w:t>
      </w:r>
      <w:r w:rsidR="00FA6049">
        <w:rPr>
          <w:rFonts w:ascii="Arial" w:hAnsi="Arial" w:cs="Arial"/>
          <w:spacing w:val="-3"/>
          <w:sz w:val="20"/>
          <w:szCs w:val="20"/>
        </w:rPr>
        <w:t>cen</w:t>
      </w:r>
      <w:r w:rsidRPr="00FA3CF0">
        <w:rPr>
          <w:rFonts w:ascii="Arial" w:hAnsi="Arial" w:cs="Arial"/>
          <w:spacing w:val="-3"/>
          <w:sz w:val="20"/>
          <w:szCs w:val="20"/>
        </w:rPr>
        <w:t xml:space="preserve"> o no </w:t>
      </w:r>
      <w:r w:rsidR="00FA6049">
        <w:rPr>
          <w:rFonts w:ascii="Arial" w:hAnsi="Arial" w:cs="Arial"/>
          <w:spacing w:val="-3"/>
          <w:sz w:val="20"/>
          <w:szCs w:val="20"/>
        </w:rPr>
        <w:t>sus</w:t>
      </w:r>
      <w:r w:rsidRPr="00FA3CF0">
        <w:rPr>
          <w:rFonts w:ascii="Arial" w:hAnsi="Arial" w:cs="Arial"/>
          <w:spacing w:val="-3"/>
          <w:sz w:val="20"/>
          <w:szCs w:val="20"/>
        </w:rPr>
        <w:t xml:space="preserve"> flujos futuros</w:t>
      </w:r>
      <w:r w:rsidR="00E33943">
        <w:rPr>
          <w:rFonts w:ascii="Arial" w:hAnsi="Arial" w:cs="Arial"/>
          <w:spacing w:val="-3"/>
          <w:sz w:val="20"/>
          <w:szCs w:val="20"/>
        </w:rPr>
        <w:t xml:space="preserve"> de efectivo</w:t>
      </w:r>
      <w:r w:rsidRPr="00FA3CF0">
        <w:rPr>
          <w:rFonts w:ascii="Arial" w:hAnsi="Arial" w:cs="Arial"/>
          <w:spacing w:val="-3"/>
          <w:sz w:val="20"/>
          <w:szCs w:val="20"/>
        </w:rPr>
        <w:t xml:space="preserve">. </w:t>
      </w:r>
    </w:p>
    <w:p w14:paraId="2961079A" w14:textId="77777777" w:rsidR="00C06D5B" w:rsidRPr="00C06D5B" w:rsidRDefault="00C06D5B" w:rsidP="00C06D5B">
      <w:pPr>
        <w:pStyle w:val="Prrafodelista"/>
        <w:rPr>
          <w:rFonts w:ascii="Arial" w:hAnsi="Arial" w:cs="Arial"/>
          <w:spacing w:val="-3"/>
          <w:sz w:val="20"/>
          <w:szCs w:val="20"/>
        </w:rPr>
      </w:pPr>
    </w:p>
    <w:p w14:paraId="4392F511" w14:textId="0A6B71C0" w:rsidR="00E751BD" w:rsidRDefault="00E751BD" w:rsidP="00066D2F">
      <w:pPr>
        <w:pStyle w:val="Prrafodelista"/>
        <w:numPr>
          <w:ilvl w:val="3"/>
          <w:numId w:val="25"/>
        </w:numPr>
        <w:suppressAutoHyphens/>
        <w:spacing w:after="0" w:line="240" w:lineRule="auto"/>
        <w:ind w:left="709" w:hanging="709"/>
        <w:jc w:val="both"/>
        <w:rPr>
          <w:rFonts w:ascii="Arial" w:hAnsi="Arial" w:cs="Arial"/>
          <w:spacing w:val="-3"/>
          <w:sz w:val="20"/>
          <w:szCs w:val="20"/>
        </w:rPr>
      </w:pPr>
      <w:r w:rsidRPr="00FA3CF0">
        <w:rPr>
          <w:rFonts w:ascii="Arial" w:hAnsi="Arial" w:cs="Arial"/>
          <w:spacing w:val="-3"/>
          <w:sz w:val="20"/>
          <w:szCs w:val="20"/>
        </w:rPr>
        <w:t xml:space="preserve">Se considera que los flujos futuros son conocidos cuando son determinados o determinables contractualmente </w:t>
      </w:r>
      <w:r w:rsidR="00463F0C">
        <w:rPr>
          <w:rFonts w:ascii="Arial" w:hAnsi="Arial" w:cs="Arial"/>
          <w:spacing w:val="-3"/>
          <w:sz w:val="20"/>
          <w:szCs w:val="20"/>
        </w:rPr>
        <w:t>al</w:t>
      </w:r>
      <w:r w:rsidRPr="00FA3CF0">
        <w:rPr>
          <w:rFonts w:ascii="Arial" w:hAnsi="Arial" w:cs="Arial"/>
          <w:spacing w:val="-3"/>
          <w:sz w:val="20"/>
          <w:szCs w:val="20"/>
        </w:rPr>
        <w:t xml:space="preserve"> momento en que se calcula la prima de iliquidez. Los flujos de los activos deben proyectarse netos de coberturas realizadas mediante instrumentos</w:t>
      </w:r>
      <w:r w:rsidR="00467DA6">
        <w:rPr>
          <w:rFonts w:ascii="Arial" w:hAnsi="Arial" w:cs="Arial"/>
          <w:spacing w:val="-3"/>
          <w:sz w:val="20"/>
          <w:szCs w:val="20"/>
        </w:rPr>
        <w:t xml:space="preserve"> financieros</w:t>
      </w:r>
      <w:r w:rsidRPr="00FA3CF0">
        <w:rPr>
          <w:rFonts w:ascii="Arial" w:hAnsi="Arial" w:cs="Arial"/>
          <w:spacing w:val="-3"/>
          <w:sz w:val="20"/>
          <w:szCs w:val="20"/>
        </w:rPr>
        <w:t xml:space="preserve"> derivados (incluyendo </w:t>
      </w:r>
      <w:r w:rsidRPr="00FA3CF0">
        <w:rPr>
          <w:rFonts w:ascii="Arial" w:hAnsi="Arial" w:cs="Arial"/>
          <w:i/>
          <w:iCs/>
          <w:spacing w:val="-3"/>
          <w:sz w:val="20"/>
          <w:szCs w:val="20"/>
        </w:rPr>
        <w:t>swaps</w:t>
      </w:r>
      <w:r w:rsidRPr="00FA3CF0">
        <w:rPr>
          <w:rFonts w:ascii="Arial" w:hAnsi="Arial" w:cs="Arial"/>
          <w:spacing w:val="-3"/>
          <w:sz w:val="20"/>
          <w:szCs w:val="20"/>
        </w:rPr>
        <w:t>).</w:t>
      </w:r>
    </w:p>
    <w:p w14:paraId="77D054CE" w14:textId="77777777" w:rsidR="00E751BD" w:rsidRPr="00242C65" w:rsidRDefault="00E751BD" w:rsidP="00E751BD">
      <w:pPr>
        <w:pStyle w:val="Prrafodelista"/>
        <w:rPr>
          <w:rFonts w:ascii="Arial" w:hAnsi="Arial" w:cs="Arial"/>
          <w:spacing w:val="-3"/>
          <w:sz w:val="20"/>
          <w:szCs w:val="20"/>
        </w:rPr>
      </w:pPr>
    </w:p>
    <w:p w14:paraId="702D21F8" w14:textId="029FE132" w:rsidR="00587545" w:rsidRPr="00852554" w:rsidRDefault="00E751BD" w:rsidP="00587545">
      <w:pPr>
        <w:pStyle w:val="Prrafodelista"/>
        <w:numPr>
          <w:ilvl w:val="3"/>
          <w:numId w:val="25"/>
        </w:numPr>
        <w:suppressAutoHyphens/>
        <w:spacing w:after="0" w:line="240" w:lineRule="auto"/>
        <w:ind w:left="709" w:hanging="709"/>
        <w:jc w:val="both"/>
        <w:rPr>
          <w:rFonts w:ascii="Arial" w:hAnsi="Arial" w:cs="Arial"/>
          <w:spacing w:val="-3"/>
          <w:sz w:val="20"/>
          <w:szCs w:val="20"/>
        </w:rPr>
      </w:pPr>
      <w:r w:rsidRPr="00852554">
        <w:rPr>
          <w:rFonts w:ascii="Arial" w:hAnsi="Arial" w:cs="Arial"/>
          <w:spacing w:val="-3"/>
          <w:sz w:val="20"/>
          <w:szCs w:val="20"/>
        </w:rPr>
        <w:t xml:space="preserve">Los activos que no tienen flujos </w:t>
      </w:r>
      <w:r w:rsidRPr="0055093D">
        <w:rPr>
          <w:rFonts w:ascii="Arial" w:hAnsi="Arial" w:cs="Arial"/>
          <w:spacing w:val="-3"/>
          <w:sz w:val="20"/>
          <w:szCs w:val="20"/>
        </w:rPr>
        <w:t xml:space="preserve">futuros conocidos deberán ser </w:t>
      </w:r>
      <w:r w:rsidR="00181370" w:rsidRPr="0055093D">
        <w:rPr>
          <w:rFonts w:ascii="Arial" w:hAnsi="Arial" w:cs="Arial"/>
          <w:spacing w:val="-3"/>
          <w:sz w:val="20"/>
          <w:szCs w:val="20"/>
        </w:rPr>
        <w:t xml:space="preserve">incluidos </w:t>
      </w:r>
      <w:r w:rsidR="00463BD3" w:rsidRPr="0055093D">
        <w:rPr>
          <w:rFonts w:ascii="Arial" w:hAnsi="Arial" w:cs="Arial"/>
          <w:spacing w:val="-3"/>
          <w:sz w:val="20"/>
          <w:szCs w:val="20"/>
        </w:rPr>
        <w:t xml:space="preserve">en el </w:t>
      </w:r>
      <w:r w:rsidR="001B58C9" w:rsidRPr="0055093D">
        <w:rPr>
          <w:rFonts w:ascii="Arial" w:hAnsi="Arial" w:cs="Arial"/>
          <w:spacing w:val="-3"/>
          <w:sz w:val="20"/>
          <w:szCs w:val="20"/>
        </w:rPr>
        <w:t>primer flujo</w:t>
      </w:r>
      <w:r w:rsidRPr="00852554">
        <w:rPr>
          <w:rFonts w:ascii="Arial" w:hAnsi="Arial" w:cs="Arial"/>
          <w:spacing w:val="-3"/>
          <w:sz w:val="20"/>
          <w:szCs w:val="20"/>
        </w:rPr>
        <w:t xml:space="preserve"> considerando su </w:t>
      </w:r>
      <w:r w:rsidRPr="00CC689D">
        <w:rPr>
          <w:rFonts w:ascii="Arial" w:hAnsi="Arial" w:cs="Arial"/>
          <w:spacing w:val="-3"/>
          <w:sz w:val="20"/>
          <w:szCs w:val="20"/>
        </w:rPr>
        <w:t>valor razonable</w:t>
      </w:r>
      <w:r w:rsidR="0068567D" w:rsidRPr="00CC689D">
        <w:rPr>
          <w:rFonts w:ascii="Arial" w:hAnsi="Arial" w:cs="Arial"/>
          <w:spacing w:val="-3"/>
          <w:sz w:val="20"/>
          <w:szCs w:val="20"/>
        </w:rPr>
        <w:t xml:space="preserve"> </w:t>
      </w:r>
      <w:r w:rsidR="00410198" w:rsidRPr="00CC689D">
        <w:rPr>
          <w:rFonts w:ascii="Arial" w:hAnsi="Arial" w:cs="Arial"/>
          <w:spacing w:val="-3"/>
          <w:sz w:val="20"/>
          <w:szCs w:val="20"/>
        </w:rPr>
        <w:t>con efecto en</w:t>
      </w:r>
      <w:r w:rsidR="00F16FB6" w:rsidRPr="00CC689D">
        <w:rPr>
          <w:rFonts w:ascii="Arial" w:hAnsi="Arial" w:cs="Arial"/>
          <w:spacing w:val="-3"/>
          <w:sz w:val="20"/>
          <w:szCs w:val="20"/>
        </w:rPr>
        <w:t xml:space="preserve"> resultados</w:t>
      </w:r>
      <w:r w:rsidR="00AB26E9" w:rsidRPr="00CC689D">
        <w:rPr>
          <w:rFonts w:ascii="Arial" w:hAnsi="Arial" w:cs="Arial"/>
          <w:spacing w:val="-3"/>
          <w:sz w:val="20"/>
          <w:szCs w:val="20"/>
        </w:rPr>
        <w:t>.</w:t>
      </w:r>
      <w:r w:rsidR="00AB26E9" w:rsidRPr="00852554">
        <w:rPr>
          <w:rFonts w:ascii="Arial" w:hAnsi="Arial" w:cs="Arial"/>
          <w:spacing w:val="-3"/>
          <w:sz w:val="20"/>
          <w:szCs w:val="20"/>
        </w:rPr>
        <w:t xml:space="preserve"> </w:t>
      </w:r>
      <w:r w:rsidR="009A4B56">
        <w:rPr>
          <w:rFonts w:ascii="Arial" w:hAnsi="Arial" w:cs="Arial"/>
          <w:spacing w:val="-3"/>
          <w:sz w:val="20"/>
          <w:szCs w:val="20"/>
        </w:rPr>
        <w:t xml:space="preserve">Cuando </w:t>
      </w:r>
      <w:r w:rsidR="00DF73CE">
        <w:rPr>
          <w:rFonts w:ascii="Arial" w:hAnsi="Arial" w:cs="Arial"/>
          <w:spacing w:val="-3"/>
          <w:sz w:val="20"/>
          <w:szCs w:val="20"/>
        </w:rPr>
        <w:t xml:space="preserve">la entidad </w:t>
      </w:r>
      <w:r w:rsidR="00660A4A">
        <w:rPr>
          <w:rFonts w:ascii="Arial" w:hAnsi="Arial" w:cs="Arial"/>
          <w:spacing w:val="-3"/>
          <w:sz w:val="20"/>
          <w:szCs w:val="20"/>
        </w:rPr>
        <w:t xml:space="preserve">aseguradora </w:t>
      </w:r>
      <w:r w:rsidR="00DF73CE" w:rsidRPr="009E55D7">
        <w:rPr>
          <w:rFonts w:ascii="Arial" w:hAnsi="Arial" w:cs="Arial"/>
          <w:spacing w:val="-3"/>
          <w:sz w:val="20"/>
          <w:szCs w:val="20"/>
        </w:rPr>
        <w:t>pueda</w:t>
      </w:r>
      <w:r w:rsidR="009A4B56" w:rsidRPr="009E55D7">
        <w:rPr>
          <w:rFonts w:ascii="Arial" w:hAnsi="Arial" w:cs="Arial"/>
          <w:spacing w:val="-3"/>
          <w:sz w:val="20"/>
          <w:szCs w:val="20"/>
        </w:rPr>
        <w:t xml:space="preserve"> estimar flujos de efectivo más allá del mes uno, </w:t>
      </w:r>
      <w:r w:rsidR="000E60CF" w:rsidRPr="009E55D7">
        <w:rPr>
          <w:rFonts w:ascii="Arial" w:hAnsi="Arial" w:cs="Arial"/>
          <w:spacing w:val="-3"/>
          <w:sz w:val="20"/>
          <w:szCs w:val="20"/>
        </w:rPr>
        <w:t xml:space="preserve">debe emplear métodos </w:t>
      </w:r>
      <w:r w:rsidR="003A34B2">
        <w:rPr>
          <w:rFonts w:ascii="Arial" w:hAnsi="Arial" w:cs="Arial"/>
          <w:spacing w:val="-3"/>
          <w:sz w:val="20"/>
          <w:szCs w:val="20"/>
        </w:rPr>
        <w:t xml:space="preserve">técnicos </w:t>
      </w:r>
      <w:r w:rsidR="000E60CF" w:rsidRPr="009E55D7">
        <w:rPr>
          <w:rFonts w:ascii="Arial" w:hAnsi="Arial" w:cs="Arial"/>
          <w:spacing w:val="-3"/>
          <w:sz w:val="20"/>
          <w:szCs w:val="20"/>
        </w:rPr>
        <w:t>con desarrollo tanto teórico como práctico</w:t>
      </w:r>
      <w:r w:rsidR="00587545" w:rsidRPr="009E55D7">
        <w:rPr>
          <w:rFonts w:ascii="Arial" w:hAnsi="Arial" w:cs="Arial"/>
          <w:spacing w:val="-3"/>
          <w:sz w:val="20"/>
          <w:szCs w:val="20"/>
        </w:rPr>
        <w:t>. Estas estimaci</w:t>
      </w:r>
      <w:r w:rsidR="00486581">
        <w:rPr>
          <w:rFonts w:ascii="Arial" w:hAnsi="Arial" w:cs="Arial"/>
          <w:spacing w:val="-3"/>
          <w:sz w:val="20"/>
          <w:szCs w:val="20"/>
        </w:rPr>
        <w:t>ones</w:t>
      </w:r>
      <w:r w:rsidR="00587545" w:rsidRPr="009E55D7">
        <w:rPr>
          <w:rFonts w:ascii="Arial" w:hAnsi="Arial" w:cs="Arial"/>
          <w:spacing w:val="-3"/>
          <w:sz w:val="20"/>
          <w:szCs w:val="20"/>
        </w:rPr>
        <w:t xml:space="preserve"> </w:t>
      </w:r>
      <w:r w:rsidR="006D2E66">
        <w:rPr>
          <w:rFonts w:ascii="Arial" w:hAnsi="Arial" w:cs="Arial"/>
          <w:spacing w:val="-3"/>
          <w:sz w:val="20"/>
          <w:szCs w:val="20"/>
        </w:rPr>
        <w:t xml:space="preserve">se </w:t>
      </w:r>
      <w:r w:rsidR="00587545" w:rsidRPr="009E55D7">
        <w:rPr>
          <w:rFonts w:ascii="Arial" w:hAnsi="Arial" w:cs="Arial"/>
          <w:spacing w:val="-3"/>
          <w:sz w:val="20"/>
          <w:szCs w:val="20"/>
        </w:rPr>
        <w:t>deben documenta</w:t>
      </w:r>
      <w:r w:rsidR="006D2E66">
        <w:rPr>
          <w:rFonts w:ascii="Arial" w:hAnsi="Arial" w:cs="Arial"/>
          <w:spacing w:val="-3"/>
          <w:sz w:val="20"/>
          <w:szCs w:val="20"/>
        </w:rPr>
        <w:t xml:space="preserve">r </w:t>
      </w:r>
      <w:r w:rsidR="00587545" w:rsidRPr="009E55D7">
        <w:rPr>
          <w:rFonts w:ascii="Arial" w:hAnsi="Arial" w:cs="Arial"/>
          <w:spacing w:val="-3"/>
          <w:sz w:val="20"/>
          <w:szCs w:val="20"/>
        </w:rPr>
        <w:t>y permanecer a disposición de la SFC, incluyendo los supuestos y parámetros</w:t>
      </w:r>
      <w:r w:rsidR="008041D6">
        <w:rPr>
          <w:rFonts w:ascii="Arial" w:hAnsi="Arial" w:cs="Arial"/>
          <w:spacing w:val="-3"/>
          <w:sz w:val="20"/>
          <w:szCs w:val="20"/>
        </w:rPr>
        <w:t>,</w:t>
      </w:r>
      <w:r w:rsidR="004A56CC">
        <w:rPr>
          <w:rFonts w:ascii="Arial" w:hAnsi="Arial" w:cs="Arial"/>
          <w:spacing w:val="-3"/>
          <w:sz w:val="20"/>
          <w:szCs w:val="20"/>
        </w:rPr>
        <w:t xml:space="preserve"> </w:t>
      </w:r>
      <w:r w:rsidR="00865D82" w:rsidRPr="00865D82">
        <w:rPr>
          <w:rFonts w:ascii="Arial" w:hAnsi="Arial" w:cs="Arial"/>
          <w:spacing w:val="-3"/>
          <w:sz w:val="20"/>
          <w:szCs w:val="20"/>
        </w:rPr>
        <w:t>los cuales deben ser evaluados por la entidad</w:t>
      </w:r>
      <w:r w:rsidR="00F33D70">
        <w:rPr>
          <w:rFonts w:ascii="Arial" w:hAnsi="Arial" w:cs="Arial"/>
          <w:spacing w:val="-3"/>
          <w:sz w:val="20"/>
          <w:szCs w:val="20"/>
        </w:rPr>
        <w:t>,</w:t>
      </w:r>
      <w:r w:rsidR="00865D82" w:rsidRPr="00865D82">
        <w:rPr>
          <w:rFonts w:ascii="Arial" w:hAnsi="Arial" w:cs="Arial"/>
          <w:spacing w:val="-3"/>
          <w:sz w:val="20"/>
          <w:szCs w:val="20"/>
        </w:rPr>
        <w:t xml:space="preserve"> </w:t>
      </w:r>
      <w:r w:rsidR="00F33D70">
        <w:rPr>
          <w:rFonts w:ascii="Arial" w:hAnsi="Arial" w:cs="Arial"/>
          <w:spacing w:val="-3"/>
          <w:sz w:val="20"/>
          <w:szCs w:val="20"/>
        </w:rPr>
        <w:t>como mínimo anualmente,</w:t>
      </w:r>
      <w:r w:rsidR="00F33D70" w:rsidRPr="00865D82">
        <w:rPr>
          <w:rFonts w:ascii="Arial" w:hAnsi="Arial" w:cs="Arial"/>
          <w:spacing w:val="-3"/>
          <w:sz w:val="20"/>
          <w:szCs w:val="20"/>
        </w:rPr>
        <w:t xml:space="preserve"> </w:t>
      </w:r>
      <w:r w:rsidR="00865D82" w:rsidRPr="00865D82">
        <w:rPr>
          <w:rFonts w:ascii="Arial" w:hAnsi="Arial" w:cs="Arial"/>
          <w:spacing w:val="-3"/>
          <w:sz w:val="20"/>
          <w:szCs w:val="20"/>
        </w:rPr>
        <w:t>para comprobar su validez y consistencia.</w:t>
      </w:r>
    </w:p>
    <w:p w14:paraId="748CA8E6" w14:textId="77777777" w:rsidR="00D154C2" w:rsidRPr="004E2DDE" w:rsidRDefault="00D154C2" w:rsidP="00D154C2">
      <w:pPr>
        <w:pStyle w:val="Prrafodelista"/>
        <w:ind w:left="360"/>
        <w:jc w:val="both"/>
        <w:rPr>
          <w:rFonts w:ascii="Arial" w:hAnsi="Arial" w:cs="Arial"/>
          <w:sz w:val="20"/>
          <w:szCs w:val="20"/>
        </w:rPr>
      </w:pPr>
    </w:p>
    <w:p w14:paraId="533872A5" w14:textId="429235AB" w:rsidR="00D154C2" w:rsidRPr="000F34FE" w:rsidRDefault="00D154C2" w:rsidP="00D154C2">
      <w:pPr>
        <w:pStyle w:val="Prrafodelista"/>
        <w:numPr>
          <w:ilvl w:val="2"/>
          <w:numId w:val="25"/>
        </w:numPr>
        <w:spacing w:after="160" w:line="259" w:lineRule="auto"/>
        <w:jc w:val="both"/>
        <w:rPr>
          <w:rFonts w:ascii="Arial" w:hAnsi="Arial" w:cs="Arial"/>
          <w:sz w:val="20"/>
          <w:szCs w:val="20"/>
        </w:rPr>
      </w:pPr>
      <w:r w:rsidRPr="000F34FE">
        <w:rPr>
          <w:rFonts w:ascii="Arial" w:hAnsi="Arial" w:cs="Arial"/>
          <w:sz w:val="20"/>
          <w:szCs w:val="20"/>
        </w:rPr>
        <w:t>Los flujos de efectivo esperados de</w:t>
      </w:r>
      <w:r w:rsidR="00460067" w:rsidRPr="000F34FE">
        <w:rPr>
          <w:rFonts w:ascii="Arial" w:hAnsi="Arial" w:cs="Arial"/>
          <w:sz w:val="20"/>
          <w:szCs w:val="20"/>
        </w:rPr>
        <w:t>l portafolio</w:t>
      </w:r>
      <w:r w:rsidRPr="000F34FE">
        <w:rPr>
          <w:rFonts w:ascii="Arial" w:hAnsi="Arial" w:cs="Arial"/>
          <w:sz w:val="20"/>
          <w:szCs w:val="20"/>
        </w:rPr>
        <w:t xml:space="preserve"> de activos asignad</w:t>
      </w:r>
      <w:r w:rsidR="00460067" w:rsidRPr="000F34FE">
        <w:rPr>
          <w:rFonts w:ascii="Arial" w:hAnsi="Arial" w:cs="Arial"/>
          <w:sz w:val="20"/>
          <w:szCs w:val="20"/>
        </w:rPr>
        <w:t>o</w:t>
      </w:r>
      <w:r w:rsidRPr="000F34FE">
        <w:rPr>
          <w:rFonts w:ascii="Arial" w:hAnsi="Arial" w:cs="Arial"/>
          <w:sz w:val="20"/>
          <w:szCs w:val="20"/>
        </w:rPr>
        <w:t xml:space="preserve"> deben replicar los flujos de efectivo </w:t>
      </w:r>
      <w:r w:rsidRPr="00D64DDB">
        <w:rPr>
          <w:rFonts w:ascii="Arial" w:hAnsi="Arial" w:cs="Arial"/>
          <w:sz w:val="20"/>
          <w:szCs w:val="20"/>
        </w:rPr>
        <w:t xml:space="preserve">esperados de la cartera de </w:t>
      </w:r>
      <w:r w:rsidR="001D60B0">
        <w:rPr>
          <w:rFonts w:ascii="Arial" w:hAnsi="Arial" w:cs="Arial"/>
          <w:sz w:val="20"/>
          <w:szCs w:val="20"/>
        </w:rPr>
        <w:t xml:space="preserve">las </w:t>
      </w:r>
      <w:r w:rsidRPr="00D64DDB">
        <w:rPr>
          <w:rFonts w:ascii="Arial" w:hAnsi="Arial" w:cs="Arial"/>
          <w:sz w:val="20"/>
          <w:szCs w:val="20"/>
        </w:rPr>
        <w:t>obligaciones en la misma moned</w:t>
      </w:r>
      <w:r w:rsidRPr="001D1188">
        <w:rPr>
          <w:rFonts w:ascii="Arial" w:hAnsi="Arial" w:cs="Arial"/>
          <w:sz w:val="20"/>
          <w:szCs w:val="20"/>
        </w:rPr>
        <w:t>a</w:t>
      </w:r>
      <w:r w:rsidR="00442B11" w:rsidRPr="001D1188">
        <w:rPr>
          <w:rFonts w:ascii="Arial" w:hAnsi="Arial" w:cs="Arial"/>
          <w:sz w:val="20"/>
          <w:szCs w:val="20"/>
        </w:rPr>
        <w:t>.</w:t>
      </w:r>
      <w:r w:rsidR="00BA1B9F">
        <w:rPr>
          <w:rFonts w:ascii="Arial" w:hAnsi="Arial" w:cs="Arial"/>
          <w:sz w:val="20"/>
          <w:szCs w:val="20"/>
        </w:rPr>
        <w:t xml:space="preserve"> </w:t>
      </w:r>
    </w:p>
    <w:p w14:paraId="3792FDC8" w14:textId="77777777" w:rsidR="00D154C2" w:rsidRPr="002916A8" w:rsidRDefault="00D154C2" w:rsidP="00D154C2">
      <w:pPr>
        <w:pStyle w:val="Prrafodelista"/>
        <w:ind w:left="360"/>
        <w:jc w:val="both"/>
        <w:rPr>
          <w:rFonts w:ascii="Arial" w:hAnsi="Arial" w:cs="Arial"/>
          <w:sz w:val="20"/>
          <w:szCs w:val="20"/>
        </w:rPr>
      </w:pPr>
    </w:p>
    <w:p w14:paraId="314FC251" w14:textId="73FBC3A6" w:rsidR="00D154C2" w:rsidRDefault="00BB3F15" w:rsidP="00651497">
      <w:pPr>
        <w:pStyle w:val="Prrafodelista"/>
        <w:numPr>
          <w:ilvl w:val="2"/>
          <w:numId w:val="25"/>
        </w:numPr>
        <w:tabs>
          <w:tab w:val="left" w:pos="8364"/>
        </w:tabs>
        <w:suppressAutoHyphens/>
        <w:spacing w:after="0" w:line="240" w:lineRule="auto"/>
        <w:jc w:val="both"/>
        <w:rPr>
          <w:rFonts w:ascii="Arial" w:hAnsi="Arial" w:cs="Arial"/>
          <w:spacing w:val="-3"/>
          <w:sz w:val="20"/>
          <w:szCs w:val="20"/>
        </w:rPr>
      </w:pPr>
      <w:r>
        <w:rPr>
          <w:rFonts w:ascii="Arial" w:hAnsi="Arial" w:cs="Arial"/>
          <w:spacing w:val="-3"/>
          <w:sz w:val="20"/>
          <w:szCs w:val="20"/>
        </w:rPr>
        <w:t>Los</w:t>
      </w:r>
      <w:r w:rsidR="00D154C2" w:rsidRPr="0069591D">
        <w:rPr>
          <w:rFonts w:ascii="Arial" w:hAnsi="Arial" w:cs="Arial"/>
          <w:spacing w:val="-3"/>
          <w:sz w:val="20"/>
          <w:szCs w:val="20"/>
        </w:rPr>
        <w:t xml:space="preserve"> flujos futuros de los activos se </w:t>
      </w:r>
      <w:r w:rsidR="00453824">
        <w:rPr>
          <w:rFonts w:ascii="Arial" w:hAnsi="Arial" w:cs="Arial"/>
          <w:spacing w:val="-3"/>
          <w:sz w:val="20"/>
          <w:szCs w:val="20"/>
        </w:rPr>
        <w:t xml:space="preserve">deben </w:t>
      </w:r>
      <w:r w:rsidR="00D154C2" w:rsidRPr="0069591D">
        <w:rPr>
          <w:rFonts w:ascii="Arial" w:hAnsi="Arial" w:cs="Arial"/>
          <w:spacing w:val="-3"/>
          <w:sz w:val="20"/>
          <w:szCs w:val="20"/>
        </w:rPr>
        <w:t>tomar en pesos</w:t>
      </w:r>
      <w:r w:rsidR="00453824">
        <w:rPr>
          <w:rFonts w:ascii="Arial" w:hAnsi="Arial" w:cs="Arial"/>
          <w:spacing w:val="-3"/>
          <w:sz w:val="20"/>
          <w:szCs w:val="20"/>
        </w:rPr>
        <w:t xml:space="preserve"> colombianos</w:t>
      </w:r>
      <w:r w:rsidR="00D154C2" w:rsidRPr="0069591D">
        <w:rPr>
          <w:rFonts w:ascii="Arial" w:hAnsi="Arial" w:cs="Arial"/>
          <w:spacing w:val="-3"/>
          <w:sz w:val="20"/>
          <w:szCs w:val="20"/>
        </w:rPr>
        <w:t xml:space="preserve"> y</w:t>
      </w:r>
      <w:r w:rsidR="008A4AB6">
        <w:rPr>
          <w:rFonts w:ascii="Arial" w:hAnsi="Arial" w:cs="Arial"/>
          <w:spacing w:val="-3"/>
          <w:sz w:val="20"/>
          <w:szCs w:val="20"/>
        </w:rPr>
        <w:t xml:space="preserve"> proyectar </w:t>
      </w:r>
      <w:r w:rsidR="00D154C2" w:rsidRPr="0069591D">
        <w:rPr>
          <w:rFonts w:ascii="Arial" w:hAnsi="Arial" w:cs="Arial"/>
          <w:spacing w:val="-3"/>
          <w:sz w:val="20"/>
          <w:szCs w:val="20"/>
        </w:rPr>
        <w:t>en términos reales</w:t>
      </w:r>
      <w:r w:rsidR="008A4AB6">
        <w:rPr>
          <w:rFonts w:ascii="Arial" w:hAnsi="Arial" w:cs="Arial"/>
          <w:spacing w:val="-3"/>
          <w:sz w:val="20"/>
          <w:szCs w:val="20"/>
        </w:rPr>
        <w:t>.</w:t>
      </w:r>
      <w:r w:rsidR="00D154C2" w:rsidRPr="0069591D">
        <w:rPr>
          <w:rFonts w:ascii="Arial" w:hAnsi="Arial" w:cs="Arial"/>
          <w:spacing w:val="-3"/>
          <w:sz w:val="20"/>
          <w:szCs w:val="20"/>
        </w:rPr>
        <w:t xml:space="preserve"> Cuando se requiera deflactar los flujos </w:t>
      </w:r>
      <w:r w:rsidR="00685653">
        <w:rPr>
          <w:rFonts w:ascii="Arial" w:hAnsi="Arial" w:cs="Arial"/>
          <w:spacing w:val="-3"/>
          <w:sz w:val="20"/>
          <w:szCs w:val="20"/>
        </w:rPr>
        <w:t xml:space="preserve">la entidad </w:t>
      </w:r>
      <w:r w:rsidR="00D154C2" w:rsidRPr="0069591D">
        <w:rPr>
          <w:rFonts w:ascii="Arial" w:hAnsi="Arial" w:cs="Arial"/>
          <w:spacing w:val="-3"/>
          <w:sz w:val="20"/>
          <w:szCs w:val="20"/>
        </w:rPr>
        <w:t xml:space="preserve">debe utilizar la tasa </w:t>
      </w:r>
      <w:r w:rsidR="00D154C2" w:rsidRPr="0069591D">
        <w:rPr>
          <w:rFonts w:ascii="Arial" w:hAnsi="Arial" w:cs="Arial"/>
          <w:i/>
          <w:iCs/>
          <w:spacing w:val="-3"/>
          <w:sz w:val="20"/>
          <w:szCs w:val="20"/>
        </w:rPr>
        <w:t>spot</w:t>
      </w:r>
      <w:r w:rsidR="00D154C2" w:rsidRPr="0069591D">
        <w:rPr>
          <w:rFonts w:ascii="Arial" w:hAnsi="Arial" w:cs="Arial"/>
          <w:spacing w:val="-3"/>
          <w:sz w:val="20"/>
          <w:szCs w:val="20"/>
        </w:rPr>
        <w:t xml:space="preserve"> dada por el vector de </w:t>
      </w:r>
      <w:r w:rsidR="00D154C2" w:rsidRPr="00670BE8">
        <w:rPr>
          <w:rFonts w:ascii="Arial" w:hAnsi="Arial" w:cs="Arial"/>
          <w:spacing w:val="-3"/>
          <w:sz w:val="20"/>
          <w:szCs w:val="20"/>
        </w:rPr>
        <w:t>inflación implícita</w:t>
      </w:r>
      <w:r w:rsidR="00D154C2" w:rsidRPr="0069591D">
        <w:rPr>
          <w:rFonts w:ascii="Arial" w:hAnsi="Arial" w:cs="Arial"/>
          <w:spacing w:val="-3"/>
          <w:sz w:val="20"/>
          <w:szCs w:val="20"/>
        </w:rPr>
        <w:t xml:space="preserve"> que la SFC publica</w:t>
      </w:r>
      <w:r w:rsidR="00363709">
        <w:rPr>
          <w:rFonts w:ascii="Arial" w:hAnsi="Arial" w:cs="Arial"/>
          <w:spacing w:val="-3"/>
          <w:sz w:val="20"/>
          <w:szCs w:val="20"/>
        </w:rPr>
        <w:t xml:space="preserve"> mensualmente</w:t>
      </w:r>
      <w:r w:rsidR="00D154C2" w:rsidRPr="0069591D">
        <w:rPr>
          <w:rFonts w:ascii="Arial" w:hAnsi="Arial" w:cs="Arial"/>
          <w:spacing w:val="-3"/>
          <w:sz w:val="20"/>
          <w:szCs w:val="20"/>
        </w:rPr>
        <w:t xml:space="preserve">. Los flujos que no estén indexados a la inflación deberán ser convertidos a términos reales con base en el vector de inflación implícita. </w:t>
      </w:r>
    </w:p>
    <w:p w14:paraId="5BDE5B51" w14:textId="77777777" w:rsidR="00D154C2" w:rsidRDefault="00D154C2" w:rsidP="00D154C2">
      <w:pPr>
        <w:pStyle w:val="Prrafodelista"/>
        <w:tabs>
          <w:tab w:val="left" w:pos="-720"/>
        </w:tabs>
        <w:suppressAutoHyphens/>
        <w:spacing w:after="0" w:line="240" w:lineRule="auto"/>
        <w:jc w:val="both"/>
        <w:rPr>
          <w:rFonts w:ascii="Arial" w:hAnsi="Arial" w:cs="Arial"/>
          <w:spacing w:val="-3"/>
          <w:sz w:val="20"/>
          <w:szCs w:val="20"/>
        </w:rPr>
      </w:pPr>
    </w:p>
    <w:p w14:paraId="04CD7A37" w14:textId="580C0B77" w:rsidR="005A657B" w:rsidRPr="00685653" w:rsidRDefault="00D154C2" w:rsidP="00AC78DF">
      <w:pPr>
        <w:pStyle w:val="Prrafodelista"/>
        <w:tabs>
          <w:tab w:val="left" w:pos="-720"/>
        </w:tabs>
        <w:suppressAutoHyphens/>
        <w:spacing w:after="0" w:line="240" w:lineRule="auto"/>
        <w:jc w:val="both"/>
        <w:rPr>
          <w:rFonts w:ascii="Arial" w:hAnsi="Arial"/>
          <w:spacing w:val="-3"/>
          <w:sz w:val="20"/>
          <w:lang w:val="es-CO"/>
        </w:rPr>
      </w:pPr>
      <w:r>
        <w:rPr>
          <w:rFonts w:ascii="Arial" w:hAnsi="Arial" w:cs="Arial"/>
          <w:spacing w:val="-3"/>
          <w:sz w:val="20"/>
          <w:szCs w:val="20"/>
        </w:rPr>
        <w:t>Por su parte</w:t>
      </w:r>
      <w:r w:rsidRPr="00941769">
        <w:rPr>
          <w:rFonts w:ascii="Arial" w:hAnsi="Arial" w:cs="Arial"/>
          <w:spacing w:val="-3"/>
          <w:sz w:val="20"/>
          <w:szCs w:val="20"/>
        </w:rPr>
        <w:t xml:space="preserve">, los flujos que estén </w:t>
      </w:r>
      <w:r w:rsidR="00311604">
        <w:rPr>
          <w:rFonts w:ascii="Arial" w:hAnsi="Arial" w:cs="Arial"/>
          <w:spacing w:val="-3"/>
          <w:sz w:val="20"/>
          <w:szCs w:val="20"/>
        </w:rPr>
        <w:t>indexados</w:t>
      </w:r>
      <w:r>
        <w:rPr>
          <w:rFonts w:ascii="Arial" w:hAnsi="Arial" w:cs="Arial"/>
          <w:spacing w:val="-3"/>
          <w:sz w:val="20"/>
          <w:szCs w:val="20"/>
        </w:rPr>
        <w:t xml:space="preserve"> </w:t>
      </w:r>
      <w:r w:rsidR="0090770F">
        <w:rPr>
          <w:rFonts w:ascii="Arial" w:hAnsi="Arial" w:cs="Arial"/>
          <w:spacing w:val="-3"/>
          <w:sz w:val="20"/>
          <w:szCs w:val="20"/>
        </w:rPr>
        <w:t>a</w:t>
      </w:r>
      <w:r w:rsidRPr="00941769">
        <w:rPr>
          <w:rFonts w:ascii="Arial" w:hAnsi="Arial" w:cs="Arial"/>
          <w:spacing w:val="-3"/>
          <w:sz w:val="20"/>
          <w:szCs w:val="20"/>
        </w:rPr>
        <w:t xml:space="preserve"> UVR se convertirán a pesos</w:t>
      </w:r>
      <w:r w:rsidR="00453824">
        <w:rPr>
          <w:rFonts w:ascii="Arial" w:hAnsi="Arial" w:cs="Arial"/>
          <w:spacing w:val="-3"/>
          <w:sz w:val="20"/>
          <w:szCs w:val="20"/>
        </w:rPr>
        <w:t xml:space="preserve"> colombianos</w:t>
      </w:r>
      <w:r w:rsidRPr="00941769">
        <w:rPr>
          <w:rFonts w:ascii="Arial" w:hAnsi="Arial" w:cs="Arial"/>
          <w:spacing w:val="-3"/>
          <w:sz w:val="20"/>
          <w:szCs w:val="20"/>
        </w:rPr>
        <w:t xml:space="preserve"> en términos reales, con base en la UVR </w:t>
      </w:r>
      <w:r w:rsidR="000021EA">
        <w:rPr>
          <w:rFonts w:ascii="Arial" w:hAnsi="Arial" w:cs="Arial"/>
          <w:spacing w:val="-3"/>
          <w:sz w:val="20"/>
          <w:szCs w:val="20"/>
        </w:rPr>
        <w:t xml:space="preserve">publicada por el Banco de la </w:t>
      </w:r>
      <w:r w:rsidR="00DA1898">
        <w:rPr>
          <w:rFonts w:ascii="Arial" w:hAnsi="Arial" w:cs="Arial"/>
          <w:spacing w:val="-3"/>
          <w:sz w:val="20"/>
          <w:szCs w:val="20"/>
        </w:rPr>
        <w:t>Rep</w:t>
      </w:r>
      <w:r w:rsidR="00F63B4B">
        <w:rPr>
          <w:rFonts w:ascii="Arial" w:hAnsi="Arial" w:cs="Arial"/>
          <w:spacing w:val="-3"/>
          <w:sz w:val="20"/>
          <w:szCs w:val="20"/>
        </w:rPr>
        <w:t>ú</w:t>
      </w:r>
      <w:r w:rsidR="00DA1898">
        <w:rPr>
          <w:rFonts w:ascii="Arial" w:hAnsi="Arial" w:cs="Arial"/>
          <w:spacing w:val="-3"/>
          <w:sz w:val="20"/>
          <w:szCs w:val="20"/>
        </w:rPr>
        <w:t>blica</w:t>
      </w:r>
      <w:r w:rsidR="000021EA">
        <w:rPr>
          <w:rFonts w:ascii="Arial" w:hAnsi="Arial" w:cs="Arial"/>
          <w:spacing w:val="-3"/>
          <w:sz w:val="20"/>
          <w:szCs w:val="20"/>
        </w:rPr>
        <w:t xml:space="preserve"> </w:t>
      </w:r>
      <w:r w:rsidR="004D60B4">
        <w:rPr>
          <w:rFonts w:ascii="Arial" w:hAnsi="Arial" w:cs="Arial"/>
          <w:spacing w:val="-3"/>
          <w:sz w:val="20"/>
          <w:szCs w:val="20"/>
        </w:rPr>
        <w:t>en</w:t>
      </w:r>
      <w:r w:rsidRPr="00941769">
        <w:rPr>
          <w:rFonts w:ascii="Arial" w:hAnsi="Arial" w:cs="Arial"/>
          <w:spacing w:val="-3"/>
          <w:sz w:val="20"/>
          <w:szCs w:val="20"/>
        </w:rPr>
        <w:t xml:space="preserve"> la fecha de corte de la información de los activos. Los flujos en moneda extranjera se convertirán a pesos </w:t>
      </w:r>
      <w:r>
        <w:rPr>
          <w:rFonts w:ascii="Arial" w:hAnsi="Arial" w:cs="Arial"/>
          <w:spacing w:val="-3"/>
          <w:sz w:val="20"/>
          <w:szCs w:val="20"/>
        </w:rPr>
        <w:t xml:space="preserve">colombianos </w:t>
      </w:r>
      <w:r w:rsidR="008059F0">
        <w:rPr>
          <w:rFonts w:ascii="Arial" w:hAnsi="Arial" w:cs="Arial"/>
          <w:spacing w:val="-3"/>
          <w:sz w:val="20"/>
          <w:szCs w:val="20"/>
        </w:rPr>
        <w:t>de</w:t>
      </w:r>
      <w:r w:rsidR="00924B7A">
        <w:rPr>
          <w:rFonts w:ascii="Arial" w:hAnsi="Arial" w:cs="Arial"/>
          <w:spacing w:val="-3"/>
          <w:sz w:val="20"/>
          <w:szCs w:val="20"/>
        </w:rPr>
        <w:t xml:space="preserve"> la siguiente manera: </w:t>
      </w:r>
      <w:r w:rsidR="00D77AA9">
        <w:rPr>
          <w:rFonts w:ascii="Arial" w:hAnsi="Arial" w:cs="Arial"/>
          <w:spacing w:val="-3"/>
          <w:sz w:val="20"/>
          <w:szCs w:val="20"/>
        </w:rPr>
        <w:t xml:space="preserve">i) </w:t>
      </w:r>
      <w:r w:rsidR="00A47E76">
        <w:rPr>
          <w:rFonts w:ascii="Arial" w:hAnsi="Arial" w:cs="Arial"/>
          <w:spacing w:val="-3"/>
          <w:sz w:val="20"/>
          <w:szCs w:val="20"/>
        </w:rPr>
        <w:t>s</w:t>
      </w:r>
      <w:r w:rsidR="00796F9A">
        <w:rPr>
          <w:rFonts w:ascii="Arial" w:hAnsi="Arial" w:cs="Arial"/>
          <w:spacing w:val="-3"/>
          <w:sz w:val="20"/>
          <w:szCs w:val="20"/>
        </w:rPr>
        <w:t>i los fl</w:t>
      </w:r>
      <w:r w:rsidR="00E548F4">
        <w:rPr>
          <w:rFonts w:ascii="Arial" w:hAnsi="Arial" w:cs="Arial"/>
          <w:spacing w:val="-3"/>
          <w:sz w:val="20"/>
          <w:szCs w:val="20"/>
        </w:rPr>
        <w:t>u</w:t>
      </w:r>
      <w:r w:rsidR="00796F9A">
        <w:rPr>
          <w:rFonts w:ascii="Arial" w:hAnsi="Arial" w:cs="Arial"/>
          <w:spacing w:val="-3"/>
          <w:sz w:val="20"/>
          <w:szCs w:val="20"/>
        </w:rPr>
        <w:t>jos se encuentran</w:t>
      </w:r>
      <w:r w:rsidR="00796F9A" w:rsidRPr="00796F9A">
        <w:rPr>
          <w:rFonts w:ascii="Arial" w:hAnsi="Arial" w:cs="Arial"/>
          <w:spacing w:val="-3"/>
          <w:sz w:val="20"/>
          <w:szCs w:val="20"/>
        </w:rPr>
        <w:t xml:space="preserve"> en dólares de los Estados Unidos de Norteamérica </w:t>
      </w:r>
      <w:r w:rsidR="00E548F4">
        <w:rPr>
          <w:rFonts w:ascii="Arial" w:hAnsi="Arial" w:cs="Arial"/>
          <w:spacing w:val="-3"/>
          <w:sz w:val="20"/>
          <w:szCs w:val="20"/>
        </w:rPr>
        <w:t xml:space="preserve">se tomará la </w:t>
      </w:r>
      <w:r w:rsidR="00DB7970">
        <w:rPr>
          <w:rFonts w:ascii="Arial" w:hAnsi="Arial" w:cs="Arial"/>
          <w:spacing w:val="-3"/>
          <w:sz w:val="20"/>
          <w:szCs w:val="20"/>
        </w:rPr>
        <w:t>T</w:t>
      </w:r>
      <w:r w:rsidR="00E548F4">
        <w:rPr>
          <w:rFonts w:ascii="Arial" w:hAnsi="Arial" w:cs="Arial"/>
          <w:spacing w:val="-3"/>
          <w:sz w:val="20"/>
          <w:szCs w:val="20"/>
        </w:rPr>
        <w:t xml:space="preserve">asa </w:t>
      </w:r>
      <w:r w:rsidR="00DB7970">
        <w:rPr>
          <w:rFonts w:ascii="Arial" w:hAnsi="Arial" w:cs="Arial"/>
          <w:spacing w:val="-3"/>
          <w:sz w:val="20"/>
          <w:szCs w:val="20"/>
        </w:rPr>
        <w:t>R</w:t>
      </w:r>
      <w:r w:rsidR="006D2E36">
        <w:rPr>
          <w:rFonts w:ascii="Arial" w:hAnsi="Arial" w:cs="Arial"/>
          <w:spacing w:val="-3"/>
          <w:sz w:val="20"/>
          <w:szCs w:val="20"/>
        </w:rPr>
        <w:t>epre</w:t>
      </w:r>
      <w:r w:rsidR="00DB7970">
        <w:rPr>
          <w:rFonts w:ascii="Arial" w:hAnsi="Arial" w:cs="Arial"/>
          <w:spacing w:val="-3"/>
          <w:sz w:val="20"/>
          <w:szCs w:val="20"/>
        </w:rPr>
        <w:t xml:space="preserve">sentativa del Mercado (TRM) </w:t>
      </w:r>
      <w:r w:rsidR="00924B7A" w:rsidRPr="00924B7A">
        <w:rPr>
          <w:rFonts w:ascii="Arial" w:hAnsi="Arial" w:cs="Arial"/>
          <w:spacing w:val="-3"/>
          <w:sz w:val="20"/>
          <w:szCs w:val="20"/>
        </w:rPr>
        <w:t>certificada por la SFC</w:t>
      </w:r>
      <w:r w:rsidR="00867420">
        <w:rPr>
          <w:rFonts w:ascii="Arial" w:hAnsi="Arial" w:cs="Arial"/>
          <w:spacing w:val="-3"/>
          <w:sz w:val="20"/>
          <w:szCs w:val="20"/>
        </w:rPr>
        <w:t>,</w:t>
      </w:r>
      <w:r w:rsidR="00DB7970">
        <w:rPr>
          <w:rFonts w:ascii="Arial" w:hAnsi="Arial" w:cs="Arial"/>
          <w:spacing w:val="-3"/>
          <w:sz w:val="20"/>
          <w:szCs w:val="20"/>
        </w:rPr>
        <w:t xml:space="preserve"> ii)</w:t>
      </w:r>
      <w:r w:rsidR="00867420">
        <w:rPr>
          <w:rFonts w:ascii="Arial" w:hAnsi="Arial" w:cs="Arial"/>
          <w:spacing w:val="-3"/>
          <w:sz w:val="20"/>
          <w:szCs w:val="20"/>
        </w:rPr>
        <w:t xml:space="preserve"> </w:t>
      </w:r>
      <w:r w:rsidR="00DB7970">
        <w:rPr>
          <w:rFonts w:ascii="Arial" w:hAnsi="Arial" w:cs="Arial"/>
          <w:spacing w:val="-3"/>
          <w:sz w:val="20"/>
          <w:szCs w:val="20"/>
          <w:lang w:val="es-CO"/>
        </w:rPr>
        <w:t>s</w:t>
      </w:r>
      <w:r w:rsidR="005A657B" w:rsidRPr="005A657B">
        <w:rPr>
          <w:rFonts w:ascii="Arial" w:hAnsi="Arial" w:cs="Arial"/>
          <w:spacing w:val="-3"/>
          <w:sz w:val="20"/>
          <w:szCs w:val="20"/>
          <w:lang w:val="es-CO"/>
        </w:rPr>
        <w:t xml:space="preserve">i </w:t>
      </w:r>
      <w:r w:rsidR="005A657B">
        <w:rPr>
          <w:rFonts w:ascii="Arial" w:hAnsi="Arial" w:cs="Arial"/>
          <w:spacing w:val="-3"/>
          <w:sz w:val="20"/>
          <w:szCs w:val="20"/>
          <w:lang w:val="es-CO"/>
        </w:rPr>
        <w:t>los flujos se encuentra</w:t>
      </w:r>
      <w:r w:rsidR="00DB7970">
        <w:rPr>
          <w:rFonts w:ascii="Arial" w:hAnsi="Arial" w:cs="Arial"/>
          <w:spacing w:val="-3"/>
          <w:sz w:val="20"/>
          <w:szCs w:val="20"/>
          <w:lang w:val="es-CO"/>
        </w:rPr>
        <w:t>n</w:t>
      </w:r>
      <w:r w:rsidR="005A657B">
        <w:rPr>
          <w:rFonts w:ascii="Arial" w:hAnsi="Arial" w:cs="Arial"/>
          <w:spacing w:val="-3"/>
          <w:sz w:val="20"/>
          <w:szCs w:val="20"/>
          <w:lang w:val="es-CO"/>
        </w:rPr>
        <w:t xml:space="preserve"> </w:t>
      </w:r>
      <w:r w:rsidR="005A657B" w:rsidRPr="005A657B">
        <w:rPr>
          <w:rFonts w:ascii="Arial" w:hAnsi="Arial" w:cs="Arial"/>
          <w:spacing w:val="-3"/>
          <w:sz w:val="20"/>
          <w:szCs w:val="20"/>
          <w:lang w:val="es-CO"/>
        </w:rPr>
        <w:t xml:space="preserve">en una moneda distinta del dólar de los Estados Unidos de Norteamérica, </w:t>
      </w:r>
      <w:r w:rsidR="005A657B">
        <w:rPr>
          <w:rFonts w:ascii="Arial" w:hAnsi="Arial" w:cs="Arial"/>
          <w:spacing w:val="-3"/>
          <w:sz w:val="20"/>
          <w:szCs w:val="20"/>
          <w:lang w:val="es-CO"/>
        </w:rPr>
        <w:t>su valor se convertirá a pesos</w:t>
      </w:r>
      <w:r w:rsidR="005A657B" w:rsidRPr="005A657B">
        <w:rPr>
          <w:rFonts w:ascii="Arial" w:hAnsi="Arial" w:cs="Arial"/>
          <w:spacing w:val="-3"/>
          <w:sz w:val="20"/>
          <w:szCs w:val="20"/>
          <w:lang w:val="es-CO"/>
        </w:rPr>
        <w:t xml:space="preserve"> con base en las tasas de conversión de divisas</w:t>
      </w:r>
      <w:r w:rsidR="0033112F">
        <w:rPr>
          <w:rFonts w:ascii="Arial" w:hAnsi="Arial" w:cs="Arial"/>
          <w:spacing w:val="-3"/>
          <w:sz w:val="20"/>
          <w:szCs w:val="20"/>
          <w:lang w:val="es-CO"/>
        </w:rPr>
        <w:t xml:space="preserve"> publicadas el día de </w:t>
      </w:r>
      <w:r w:rsidR="009C0659">
        <w:rPr>
          <w:rFonts w:ascii="Arial" w:hAnsi="Arial" w:cs="Arial"/>
          <w:spacing w:val="-3"/>
          <w:sz w:val="20"/>
          <w:szCs w:val="20"/>
          <w:lang w:val="es-CO"/>
        </w:rPr>
        <w:t>valoración</w:t>
      </w:r>
      <w:r w:rsidR="005A657B" w:rsidRPr="005A657B">
        <w:rPr>
          <w:rFonts w:ascii="Arial" w:hAnsi="Arial" w:cs="Arial"/>
          <w:spacing w:val="-3"/>
          <w:sz w:val="20"/>
          <w:szCs w:val="20"/>
          <w:lang w:val="es-CO"/>
        </w:rPr>
        <w:t xml:space="preserve"> en la página web del Banco Central Europeo (BCE), </w:t>
      </w:r>
      <w:r w:rsidR="00A95EC3">
        <w:rPr>
          <w:rFonts w:ascii="Arial" w:hAnsi="Arial" w:cs="Arial"/>
          <w:spacing w:val="-3"/>
          <w:sz w:val="20"/>
          <w:szCs w:val="20"/>
          <w:lang w:val="es-CO"/>
        </w:rPr>
        <w:t>tomando</w:t>
      </w:r>
      <w:r w:rsidR="005A657B" w:rsidRPr="005A657B">
        <w:rPr>
          <w:rFonts w:ascii="Arial" w:hAnsi="Arial" w:cs="Arial"/>
          <w:spacing w:val="-3"/>
          <w:sz w:val="20"/>
          <w:szCs w:val="20"/>
          <w:lang w:val="es-CO"/>
        </w:rPr>
        <w:t xml:space="preserve"> 6 decimales, aproxima</w:t>
      </w:r>
      <w:r w:rsidR="00A95EC3">
        <w:rPr>
          <w:rFonts w:ascii="Arial" w:hAnsi="Arial" w:cs="Arial"/>
          <w:spacing w:val="-3"/>
          <w:sz w:val="20"/>
          <w:szCs w:val="20"/>
          <w:lang w:val="es-CO"/>
        </w:rPr>
        <w:t>n</w:t>
      </w:r>
      <w:r w:rsidR="005A657B" w:rsidRPr="005A657B">
        <w:rPr>
          <w:rFonts w:ascii="Arial" w:hAnsi="Arial" w:cs="Arial"/>
          <w:spacing w:val="-3"/>
          <w:sz w:val="20"/>
          <w:szCs w:val="20"/>
          <w:lang w:val="es-CO"/>
        </w:rPr>
        <w:t>do el último</w:t>
      </w:r>
      <w:r w:rsidR="00DB7970">
        <w:rPr>
          <w:rFonts w:ascii="Arial" w:hAnsi="Arial" w:cs="Arial"/>
          <w:spacing w:val="-3"/>
          <w:sz w:val="20"/>
          <w:szCs w:val="20"/>
          <w:lang w:val="es-CO"/>
        </w:rPr>
        <w:t xml:space="preserve"> digito</w:t>
      </w:r>
      <w:r w:rsidR="005A657B" w:rsidRPr="005A657B">
        <w:rPr>
          <w:rFonts w:ascii="Arial" w:hAnsi="Arial" w:cs="Arial"/>
          <w:spacing w:val="-3"/>
          <w:sz w:val="20"/>
          <w:szCs w:val="20"/>
          <w:lang w:val="es-CO"/>
        </w:rPr>
        <w:t xml:space="preserve"> por el sistema de redondeo</w:t>
      </w:r>
      <w:r w:rsidR="00A95EC3">
        <w:rPr>
          <w:rFonts w:ascii="Arial" w:hAnsi="Arial" w:cs="Arial"/>
          <w:spacing w:val="-3"/>
          <w:sz w:val="20"/>
          <w:szCs w:val="20"/>
          <w:lang w:val="es-CO"/>
        </w:rPr>
        <w:t xml:space="preserve"> y iii)</w:t>
      </w:r>
      <w:r w:rsidR="005A657B" w:rsidRPr="005A657B">
        <w:rPr>
          <w:rFonts w:ascii="Arial" w:hAnsi="Arial" w:cs="Arial"/>
          <w:spacing w:val="-3"/>
          <w:sz w:val="20"/>
          <w:szCs w:val="20"/>
          <w:lang w:val="es-CO"/>
        </w:rPr>
        <w:t xml:space="preserve"> </w:t>
      </w:r>
      <w:r w:rsidR="00A95EC3">
        <w:rPr>
          <w:rFonts w:ascii="Arial" w:hAnsi="Arial" w:cs="Arial"/>
          <w:spacing w:val="-3"/>
          <w:sz w:val="20"/>
          <w:szCs w:val="20"/>
          <w:lang w:val="es-CO"/>
        </w:rPr>
        <w:t>c</w:t>
      </w:r>
      <w:r w:rsidR="005A657B" w:rsidRPr="005A657B">
        <w:rPr>
          <w:rFonts w:ascii="Arial" w:hAnsi="Arial" w:cs="Arial"/>
          <w:spacing w:val="-3"/>
          <w:sz w:val="20"/>
          <w:szCs w:val="20"/>
          <w:lang w:val="es-CO"/>
        </w:rPr>
        <w:t>uando la tasa de conversión de la divisa no se encuentre en la página web del BCE, se deberá tomar la tasa de conversión frente al dólar de los Estados Unidos de Norteamérica publicada por el Banco Central</w:t>
      </w:r>
      <w:r w:rsidR="00AC78DF">
        <w:rPr>
          <w:rFonts w:ascii="Arial" w:hAnsi="Arial" w:cs="Arial"/>
          <w:spacing w:val="-3"/>
          <w:sz w:val="20"/>
          <w:szCs w:val="20"/>
          <w:lang w:val="es-CO"/>
        </w:rPr>
        <w:t xml:space="preserve"> </w:t>
      </w:r>
      <w:r w:rsidR="005A657B" w:rsidRPr="005A657B">
        <w:rPr>
          <w:rFonts w:ascii="Arial" w:hAnsi="Arial" w:cs="Arial"/>
          <w:spacing w:val="-3"/>
          <w:sz w:val="20"/>
          <w:szCs w:val="20"/>
          <w:lang w:val="es-CO"/>
        </w:rPr>
        <w:t>del respectivo país</w:t>
      </w:r>
      <w:r w:rsidR="005A657B" w:rsidRPr="00685653">
        <w:rPr>
          <w:rFonts w:ascii="Arial" w:hAnsi="Arial"/>
          <w:spacing w:val="-3"/>
          <w:sz w:val="20"/>
          <w:lang w:val="es-CO"/>
        </w:rPr>
        <w:t>.</w:t>
      </w:r>
    </w:p>
    <w:p w14:paraId="58B11C0C" w14:textId="77777777" w:rsidR="00D154C2" w:rsidRDefault="00D154C2" w:rsidP="00D154C2">
      <w:pPr>
        <w:pStyle w:val="Prrafodelista"/>
        <w:tabs>
          <w:tab w:val="left" w:pos="-720"/>
        </w:tabs>
        <w:suppressAutoHyphens/>
        <w:spacing w:after="0" w:line="240" w:lineRule="auto"/>
        <w:ind w:left="1080"/>
        <w:jc w:val="both"/>
        <w:rPr>
          <w:rFonts w:ascii="Arial" w:hAnsi="Arial" w:cs="Arial"/>
          <w:spacing w:val="-3"/>
          <w:sz w:val="20"/>
          <w:szCs w:val="20"/>
        </w:rPr>
      </w:pPr>
    </w:p>
    <w:p w14:paraId="1D8DD44C" w14:textId="2BFB22A3" w:rsidR="00D154C2" w:rsidRDefault="00D154C2" w:rsidP="529BABFE">
      <w:pPr>
        <w:pStyle w:val="Prrafodelista"/>
        <w:numPr>
          <w:ilvl w:val="2"/>
          <w:numId w:val="25"/>
        </w:numPr>
        <w:suppressAutoHyphens/>
        <w:spacing w:after="0" w:line="240" w:lineRule="auto"/>
        <w:jc w:val="both"/>
        <w:rPr>
          <w:rFonts w:ascii="Arial" w:hAnsi="Arial" w:cs="Arial"/>
          <w:spacing w:val="-3"/>
          <w:sz w:val="20"/>
          <w:szCs w:val="20"/>
        </w:rPr>
      </w:pPr>
      <w:r w:rsidRPr="00F1101A">
        <w:rPr>
          <w:rFonts w:ascii="Arial" w:hAnsi="Arial" w:cs="Arial"/>
          <w:spacing w:val="-3"/>
          <w:sz w:val="20"/>
          <w:szCs w:val="20"/>
        </w:rPr>
        <w:t xml:space="preserve">Los flujos de títulos indexados a una tasa variable </w:t>
      </w:r>
      <w:r w:rsidR="0060225F">
        <w:rPr>
          <w:rFonts w:ascii="Arial" w:hAnsi="Arial" w:cs="Arial"/>
          <w:spacing w:val="-3"/>
          <w:sz w:val="20"/>
          <w:szCs w:val="20"/>
        </w:rPr>
        <w:t xml:space="preserve">se </w:t>
      </w:r>
      <w:r w:rsidRPr="00F1101A">
        <w:rPr>
          <w:rFonts w:ascii="Arial" w:hAnsi="Arial" w:cs="Arial"/>
          <w:spacing w:val="-3"/>
          <w:sz w:val="20"/>
          <w:szCs w:val="20"/>
        </w:rPr>
        <w:t>deben proyectar con base en el valor de dicha tasa, aplicable a la fecha de corte de la información de los activos.</w:t>
      </w:r>
    </w:p>
    <w:p w14:paraId="51DD0395" w14:textId="77777777" w:rsidR="00D64D44" w:rsidRDefault="00D64D44" w:rsidP="00D64D44">
      <w:pPr>
        <w:pStyle w:val="Prrafodelista"/>
        <w:suppressAutoHyphens/>
        <w:spacing w:after="0" w:line="240" w:lineRule="auto"/>
        <w:jc w:val="both"/>
        <w:rPr>
          <w:rFonts w:ascii="Arial" w:hAnsi="Arial" w:cs="Arial"/>
          <w:spacing w:val="-3"/>
          <w:sz w:val="20"/>
          <w:szCs w:val="20"/>
        </w:rPr>
      </w:pPr>
    </w:p>
    <w:p w14:paraId="1CDE539A" w14:textId="77777777" w:rsidR="00D154C2" w:rsidRPr="00411D87" w:rsidRDefault="00D154C2" w:rsidP="00D154C2">
      <w:pPr>
        <w:tabs>
          <w:tab w:val="left" w:pos="-720"/>
        </w:tabs>
        <w:suppressAutoHyphens/>
        <w:spacing w:after="0" w:line="240" w:lineRule="auto"/>
        <w:jc w:val="both"/>
        <w:rPr>
          <w:rFonts w:ascii="Arial" w:hAnsi="Arial" w:cs="Arial"/>
          <w:spacing w:val="-3"/>
          <w:sz w:val="20"/>
          <w:szCs w:val="20"/>
        </w:rPr>
      </w:pPr>
    </w:p>
    <w:p w14:paraId="183A038E" w14:textId="77777777" w:rsidR="00D154C2" w:rsidRPr="00411D87" w:rsidRDefault="00D154C2" w:rsidP="00D154C2">
      <w:pPr>
        <w:pStyle w:val="Prrafodelista"/>
        <w:numPr>
          <w:ilvl w:val="1"/>
          <w:numId w:val="25"/>
        </w:numPr>
        <w:spacing w:after="160" w:line="259" w:lineRule="auto"/>
        <w:jc w:val="both"/>
        <w:rPr>
          <w:rFonts w:ascii="Arial" w:hAnsi="Arial" w:cs="Arial"/>
          <w:b/>
          <w:bCs/>
          <w:sz w:val="20"/>
          <w:szCs w:val="20"/>
        </w:rPr>
      </w:pPr>
      <w:r w:rsidRPr="00411D87">
        <w:rPr>
          <w:rFonts w:ascii="Arial" w:hAnsi="Arial" w:cs="Arial"/>
          <w:b/>
          <w:bCs/>
          <w:sz w:val="20"/>
          <w:szCs w:val="20"/>
        </w:rPr>
        <w:t>Selección de pasivos</w:t>
      </w:r>
    </w:p>
    <w:p w14:paraId="04A71271" w14:textId="749069CA" w:rsidR="00D154C2" w:rsidRDefault="00D154C2" w:rsidP="00D154C2">
      <w:pPr>
        <w:tabs>
          <w:tab w:val="left" w:pos="-720"/>
        </w:tabs>
        <w:suppressAutoHyphens/>
        <w:spacing w:after="0" w:line="240" w:lineRule="auto"/>
        <w:jc w:val="both"/>
        <w:rPr>
          <w:rFonts w:ascii="Arial" w:hAnsi="Arial" w:cs="Arial"/>
          <w:sz w:val="20"/>
          <w:szCs w:val="20"/>
        </w:rPr>
      </w:pPr>
      <w:r w:rsidRPr="001A204B">
        <w:rPr>
          <w:rFonts w:ascii="Arial" w:hAnsi="Arial" w:cs="Arial"/>
          <w:spacing w:val="-3"/>
          <w:sz w:val="20"/>
          <w:szCs w:val="20"/>
        </w:rPr>
        <w:t xml:space="preserve">Las entidades aseguradoras deben identificar los flujos futuros de </w:t>
      </w:r>
      <w:r w:rsidR="00453824">
        <w:rPr>
          <w:rFonts w:ascii="Arial" w:hAnsi="Arial" w:cs="Arial"/>
          <w:spacing w:val="-3"/>
          <w:sz w:val="20"/>
          <w:szCs w:val="20"/>
        </w:rPr>
        <w:t xml:space="preserve">sus </w:t>
      </w:r>
      <w:r w:rsidRPr="001A204B">
        <w:rPr>
          <w:rFonts w:ascii="Arial" w:hAnsi="Arial" w:cs="Arial"/>
          <w:spacing w:val="-3"/>
          <w:sz w:val="20"/>
          <w:szCs w:val="20"/>
        </w:rPr>
        <w:t>pasivos, netos de las contingencias a cargo de reaseguradoras</w:t>
      </w:r>
      <w:r w:rsidR="003964CB">
        <w:rPr>
          <w:rFonts w:ascii="Arial" w:hAnsi="Arial" w:cs="Arial"/>
          <w:spacing w:val="-3"/>
          <w:sz w:val="20"/>
          <w:szCs w:val="20"/>
        </w:rPr>
        <w:t xml:space="preserve"> y que s</w:t>
      </w:r>
      <w:r w:rsidR="00455CB9">
        <w:rPr>
          <w:rFonts w:ascii="Arial" w:hAnsi="Arial" w:cs="Arial"/>
          <w:spacing w:val="-3"/>
          <w:sz w:val="20"/>
          <w:szCs w:val="20"/>
        </w:rPr>
        <w:t xml:space="preserve">ean susceptibles de </w:t>
      </w:r>
      <w:r w:rsidR="00E168DE">
        <w:rPr>
          <w:rFonts w:ascii="Arial" w:hAnsi="Arial" w:cs="Arial"/>
          <w:spacing w:val="-3"/>
          <w:sz w:val="20"/>
          <w:szCs w:val="20"/>
        </w:rPr>
        <w:t xml:space="preserve">ajuste por </w:t>
      </w:r>
      <w:r w:rsidR="00455CB9">
        <w:rPr>
          <w:rFonts w:ascii="Arial" w:hAnsi="Arial" w:cs="Arial"/>
          <w:spacing w:val="-3"/>
          <w:sz w:val="20"/>
          <w:szCs w:val="20"/>
        </w:rPr>
        <w:t>prima de iliquidez</w:t>
      </w:r>
      <w:r w:rsidRPr="001A204B">
        <w:rPr>
          <w:rFonts w:ascii="Arial" w:hAnsi="Arial" w:cs="Arial"/>
          <w:spacing w:val="-3"/>
          <w:sz w:val="20"/>
          <w:szCs w:val="20"/>
        </w:rPr>
        <w:t>. Estos</w:t>
      </w:r>
      <w:r w:rsidR="00453824">
        <w:rPr>
          <w:rFonts w:ascii="Arial" w:hAnsi="Arial" w:cs="Arial"/>
          <w:spacing w:val="-3"/>
          <w:sz w:val="20"/>
          <w:szCs w:val="20"/>
        </w:rPr>
        <w:t xml:space="preserve"> deben</w:t>
      </w:r>
      <w:r w:rsidRPr="001A204B">
        <w:rPr>
          <w:rFonts w:ascii="Arial" w:hAnsi="Arial" w:cs="Arial"/>
          <w:spacing w:val="-3"/>
          <w:sz w:val="20"/>
          <w:szCs w:val="20"/>
        </w:rPr>
        <w:t xml:space="preserve"> corresponde</w:t>
      </w:r>
      <w:r w:rsidR="00453824">
        <w:rPr>
          <w:rFonts w:ascii="Arial" w:hAnsi="Arial" w:cs="Arial"/>
          <w:spacing w:val="-3"/>
          <w:sz w:val="20"/>
          <w:szCs w:val="20"/>
        </w:rPr>
        <w:t>r</w:t>
      </w:r>
      <w:r w:rsidRPr="001A204B">
        <w:rPr>
          <w:rFonts w:ascii="Arial" w:hAnsi="Arial" w:cs="Arial"/>
          <w:spacing w:val="-3"/>
          <w:sz w:val="20"/>
          <w:szCs w:val="20"/>
        </w:rPr>
        <w:t xml:space="preserve"> a los flujos futuros esperados de las pólizas emitidas de acuerdo con las notas técnicas depositadas en la </w:t>
      </w:r>
      <w:r>
        <w:rPr>
          <w:rFonts w:ascii="Arial" w:hAnsi="Arial" w:cs="Arial"/>
          <w:spacing w:val="-3"/>
          <w:sz w:val="20"/>
          <w:szCs w:val="20"/>
        </w:rPr>
        <w:t xml:space="preserve">SFC </w:t>
      </w:r>
      <w:r w:rsidRPr="001A204B">
        <w:rPr>
          <w:rFonts w:ascii="Arial" w:hAnsi="Arial" w:cs="Arial"/>
          <w:spacing w:val="-3"/>
          <w:sz w:val="20"/>
          <w:szCs w:val="20"/>
        </w:rPr>
        <w:t>para el cálculo de la</w:t>
      </w:r>
      <w:r>
        <w:rPr>
          <w:rFonts w:ascii="Arial" w:hAnsi="Arial" w:cs="Arial"/>
          <w:spacing w:val="-3"/>
          <w:sz w:val="20"/>
          <w:szCs w:val="20"/>
        </w:rPr>
        <w:t>s reservas técnicas</w:t>
      </w:r>
      <w:r w:rsidRPr="001A204B">
        <w:rPr>
          <w:rFonts w:ascii="Arial" w:hAnsi="Arial" w:cs="Arial"/>
          <w:spacing w:val="-3"/>
          <w:sz w:val="20"/>
          <w:szCs w:val="20"/>
        </w:rPr>
        <w:t>.</w:t>
      </w:r>
      <w:r w:rsidRPr="00C64EC1">
        <w:rPr>
          <w:rFonts w:ascii="Arial" w:hAnsi="Arial" w:cs="Arial"/>
          <w:sz w:val="20"/>
          <w:szCs w:val="20"/>
        </w:rPr>
        <w:t xml:space="preserve"> </w:t>
      </w:r>
      <w:r w:rsidRPr="002916A8">
        <w:rPr>
          <w:rFonts w:ascii="Arial" w:hAnsi="Arial" w:cs="Arial"/>
          <w:sz w:val="20"/>
          <w:szCs w:val="20"/>
        </w:rPr>
        <w:t xml:space="preserve">Los </w:t>
      </w:r>
      <w:r>
        <w:rPr>
          <w:rFonts w:ascii="Arial" w:hAnsi="Arial" w:cs="Arial"/>
          <w:sz w:val="20"/>
          <w:szCs w:val="20"/>
        </w:rPr>
        <w:t>pasivo</w:t>
      </w:r>
      <w:r w:rsidRPr="002916A8">
        <w:rPr>
          <w:rFonts w:ascii="Arial" w:hAnsi="Arial" w:cs="Arial"/>
          <w:sz w:val="20"/>
          <w:szCs w:val="20"/>
        </w:rPr>
        <w:t>s deben cumplir las siguientes condiciones</w:t>
      </w:r>
      <w:r>
        <w:rPr>
          <w:rFonts w:ascii="Arial" w:hAnsi="Arial" w:cs="Arial"/>
          <w:sz w:val="20"/>
          <w:szCs w:val="20"/>
        </w:rPr>
        <w:t>:</w:t>
      </w:r>
    </w:p>
    <w:p w14:paraId="00CF083C" w14:textId="77777777" w:rsidR="00D9369A" w:rsidRDefault="00D9369A" w:rsidP="00D154C2">
      <w:pPr>
        <w:tabs>
          <w:tab w:val="left" w:pos="-720"/>
        </w:tabs>
        <w:suppressAutoHyphens/>
        <w:spacing w:after="0" w:line="240" w:lineRule="auto"/>
        <w:jc w:val="both"/>
        <w:rPr>
          <w:rFonts w:ascii="Arial" w:hAnsi="Arial" w:cs="Arial"/>
          <w:sz w:val="20"/>
          <w:szCs w:val="20"/>
        </w:rPr>
      </w:pPr>
    </w:p>
    <w:p w14:paraId="1CF742FB" w14:textId="0B1812CA" w:rsidR="00BC625C" w:rsidRPr="009B4A40" w:rsidRDefault="00D9369A" w:rsidP="00CC689D">
      <w:pPr>
        <w:pStyle w:val="Prrafodelista"/>
        <w:numPr>
          <w:ilvl w:val="2"/>
          <w:numId w:val="25"/>
        </w:numPr>
        <w:tabs>
          <w:tab w:val="left" w:pos="-720"/>
        </w:tabs>
        <w:suppressAutoHyphens/>
        <w:spacing w:after="0" w:line="240" w:lineRule="auto"/>
        <w:jc w:val="both"/>
        <w:rPr>
          <w:rFonts w:ascii="Arial" w:hAnsi="Arial" w:cs="Arial"/>
          <w:spacing w:val="-3"/>
          <w:sz w:val="20"/>
          <w:szCs w:val="20"/>
        </w:rPr>
      </w:pPr>
      <w:r w:rsidRPr="009B4A40">
        <w:rPr>
          <w:rFonts w:ascii="Arial" w:hAnsi="Arial" w:cs="Arial"/>
          <w:spacing w:val="-3"/>
          <w:sz w:val="20"/>
          <w:szCs w:val="20"/>
        </w:rPr>
        <w:t xml:space="preserve">La cartera de obligaciones </w:t>
      </w:r>
      <w:r w:rsidR="00723C66">
        <w:rPr>
          <w:rFonts w:ascii="Arial" w:hAnsi="Arial" w:cs="Arial"/>
          <w:spacing w:val="-3"/>
          <w:sz w:val="20"/>
          <w:szCs w:val="20"/>
        </w:rPr>
        <w:t>futuras</w:t>
      </w:r>
      <w:r w:rsidR="003C7AF9">
        <w:rPr>
          <w:rFonts w:ascii="Arial" w:hAnsi="Arial" w:cs="Arial"/>
          <w:spacing w:val="-3"/>
          <w:sz w:val="20"/>
          <w:szCs w:val="20"/>
        </w:rPr>
        <w:t xml:space="preserve"> se</w:t>
      </w:r>
      <w:r w:rsidR="00723C66">
        <w:rPr>
          <w:rFonts w:ascii="Arial" w:hAnsi="Arial" w:cs="Arial"/>
          <w:spacing w:val="-3"/>
          <w:sz w:val="20"/>
          <w:szCs w:val="20"/>
        </w:rPr>
        <w:t xml:space="preserve"> </w:t>
      </w:r>
      <w:r w:rsidRPr="009B4A40">
        <w:rPr>
          <w:rFonts w:ascii="Arial" w:hAnsi="Arial" w:cs="Arial"/>
          <w:spacing w:val="-3"/>
          <w:sz w:val="20"/>
          <w:szCs w:val="20"/>
        </w:rPr>
        <w:t>debe identificar, organizar y gestionar por separado de las demás obligaciones de la entidad</w:t>
      </w:r>
      <w:r w:rsidRPr="009B4A40">
        <w:rPr>
          <w:rFonts w:ascii="Arial" w:hAnsi="Arial" w:cs="Arial"/>
          <w:spacing w:val="-3"/>
          <w:sz w:val="20"/>
          <w:szCs w:val="20"/>
        </w:rPr>
        <w:t>.</w:t>
      </w:r>
    </w:p>
    <w:p w14:paraId="51CCD099" w14:textId="77777777" w:rsidR="00BC625C" w:rsidRPr="00C64EC1" w:rsidRDefault="00BC625C" w:rsidP="00BC625C">
      <w:pPr>
        <w:pStyle w:val="Prrafodelista"/>
        <w:tabs>
          <w:tab w:val="left" w:pos="-720"/>
        </w:tabs>
        <w:suppressAutoHyphens/>
        <w:spacing w:after="0" w:line="240" w:lineRule="auto"/>
        <w:jc w:val="both"/>
        <w:rPr>
          <w:rFonts w:ascii="Arial" w:hAnsi="Arial" w:cs="Arial"/>
          <w:spacing w:val="-3"/>
          <w:sz w:val="20"/>
          <w:szCs w:val="20"/>
        </w:rPr>
      </w:pPr>
    </w:p>
    <w:p w14:paraId="2BEC7272" w14:textId="16E393F3" w:rsidR="00A53136" w:rsidRPr="000F34FE" w:rsidRDefault="00A53136" w:rsidP="00A53136">
      <w:pPr>
        <w:pStyle w:val="Prrafodelista"/>
        <w:numPr>
          <w:ilvl w:val="2"/>
          <w:numId w:val="25"/>
        </w:numPr>
        <w:tabs>
          <w:tab w:val="left" w:pos="-720"/>
        </w:tabs>
        <w:suppressAutoHyphens/>
        <w:spacing w:after="0" w:line="240" w:lineRule="auto"/>
        <w:jc w:val="both"/>
        <w:rPr>
          <w:rStyle w:val="Refdecomentario"/>
          <w:rFonts w:ascii="Arial" w:hAnsi="Arial" w:cs="Arial"/>
          <w:spacing w:val="-3"/>
          <w:sz w:val="20"/>
          <w:szCs w:val="20"/>
        </w:rPr>
      </w:pPr>
      <w:r w:rsidRPr="000F34FE">
        <w:rPr>
          <w:rFonts w:ascii="Arial" w:hAnsi="Arial" w:cs="Arial"/>
          <w:spacing w:val="-3"/>
          <w:sz w:val="20"/>
          <w:szCs w:val="20"/>
        </w:rPr>
        <w:t xml:space="preserve">Los riesgos de suscripción vinculados a la cartera de obligaciones son el riesgo de mortalidad, el riesgo de </w:t>
      </w:r>
      <w:proofErr w:type="spellStart"/>
      <w:r w:rsidRPr="000F34FE">
        <w:rPr>
          <w:rFonts w:ascii="Arial" w:hAnsi="Arial" w:cs="Arial"/>
          <w:spacing w:val="-3"/>
          <w:sz w:val="20"/>
          <w:szCs w:val="20"/>
        </w:rPr>
        <w:t>extralongevidad</w:t>
      </w:r>
      <w:proofErr w:type="spellEnd"/>
      <w:r w:rsidRPr="000F34FE">
        <w:rPr>
          <w:rFonts w:ascii="Arial" w:hAnsi="Arial" w:cs="Arial"/>
          <w:spacing w:val="-3"/>
          <w:sz w:val="20"/>
          <w:szCs w:val="20"/>
        </w:rPr>
        <w:t xml:space="preserve"> y el riesgo de revisión que está relacionado a un posible cambio de beneficiarios </w:t>
      </w:r>
      <w:r w:rsidRPr="00C752A9">
        <w:rPr>
          <w:rFonts w:ascii="Arial" w:hAnsi="Arial" w:cs="Arial"/>
          <w:spacing w:val="-3"/>
          <w:sz w:val="20"/>
          <w:szCs w:val="20"/>
        </w:rPr>
        <w:t>o de la condición de validez o invalidez del asegurado</w:t>
      </w:r>
      <w:r w:rsidR="00BB3855" w:rsidRPr="00C752A9">
        <w:rPr>
          <w:rFonts w:ascii="Arial" w:hAnsi="Arial" w:cs="Arial"/>
          <w:spacing w:val="-3"/>
          <w:sz w:val="20"/>
          <w:szCs w:val="20"/>
        </w:rPr>
        <w:t xml:space="preserve"> y</w:t>
      </w:r>
      <w:r w:rsidR="00E85A97" w:rsidRPr="000F34FE">
        <w:rPr>
          <w:rFonts w:ascii="Arial" w:hAnsi="Arial" w:cs="Arial"/>
          <w:spacing w:val="-3"/>
          <w:sz w:val="20"/>
          <w:szCs w:val="20"/>
        </w:rPr>
        <w:t xml:space="preserve"> los</w:t>
      </w:r>
      <w:r w:rsidR="00BB3855" w:rsidRPr="000F34FE">
        <w:rPr>
          <w:rFonts w:ascii="Arial" w:hAnsi="Arial" w:cs="Arial"/>
          <w:spacing w:val="-3"/>
          <w:sz w:val="20"/>
          <w:szCs w:val="20"/>
        </w:rPr>
        <w:t xml:space="preserve"> </w:t>
      </w:r>
      <w:r w:rsidR="00E85A97" w:rsidRPr="000F34FE">
        <w:rPr>
          <w:rFonts w:ascii="Arial" w:hAnsi="Arial" w:cs="Arial"/>
          <w:spacing w:val="-3"/>
          <w:sz w:val="20"/>
          <w:szCs w:val="20"/>
        </w:rPr>
        <w:t>demás asociados a la naturaleza de cada cartera.</w:t>
      </w:r>
    </w:p>
    <w:p w14:paraId="1CE4ED6B" w14:textId="77777777" w:rsidR="00D9369A" w:rsidRDefault="00D9369A" w:rsidP="00D154C2">
      <w:pPr>
        <w:tabs>
          <w:tab w:val="left" w:pos="-720"/>
        </w:tabs>
        <w:suppressAutoHyphens/>
        <w:spacing w:after="0" w:line="240" w:lineRule="auto"/>
        <w:jc w:val="both"/>
        <w:rPr>
          <w:rFonts w:ascii="Arial" w:hAnsi="Arial" w:cs="Arial"/>
          <w:sz w:val="20"/>
          <w:szCs w:val="20"/>
        </w:rPr>
      </w:pPr>
    </w:p>
    <w:p w14:paraId="674928C6" w14:textId="77777777" w:rsidR="00576991" w:rsidRPr="00576991" w:rsidRDefault="00576991" w:rsidP="00576991">
      <w:pPr>
        <w:tabs>
          <w:tab w:val="left" w:pos="-720"/>
        </w:tabs>
        <w:suppressAutoHyphens/>
        <w:spacing w:after="0" w:line="240" w:lineRule="auto"/>
        <w:jc w:val="both"/>
        <w:rPr>
          <w:rFonts w:ascii="Arial" w:hAnsi="Arial" w:cs="Arial"/>
          <w:spacing w:val="-3"/>
          <w:sz w:val="20"/>
          <w:szCs w:val="20"/>
        </w:rPr>
      </w:pPr>
    </w:p>
    <w:p w14:paraId="0189213C" w14:textId="77777777" w:rsidR="00D154C2" w:rsidRPr="00FE074C" w:rsidRDefault="00D154C2" w:rsidP="00D154C2">
      <w:pPr>
        <w:pStyle w:val="Prrafodelista"/>
        <w:numPr>
          <w:ilvl w:val="0"/>
          <w:numId w:val="25"/>
        </w:numPr>
        <w:spacing w:after="160" w:line="259" w:lineRule="auto"/>
        <w:jc w:val="both"/>
        <w:rPr>
          <w:rFonts w:ascii="Arial" w:hAnsi="Arial" w:cs="Arial"/>
          <w:b/>
          <w:bCs/>
          <w:sz w:val="20"/>
          <w:szCs w:val="20"/>
        </w:rPr>
      </w:pPr>
      <w:r w:rsidRPr="00FE074C">
        <w:rPr>
          <w:rFonts w:ascii="Arial" w:hAnsi="Arial" w:cs="Arial"/>
          <w:b/>
          <w:bCs/>
          <w:sz w:val="20"/>
          <w:szCs w:val="20"/>
        </w:rPr>
        <w:lastRenderedPageBreak/>
        <w:t>Metodología</w:t>
      </w:r>
      <w:r>
        <w:rPr>
          <w:rFonts w:ascii="Arial" w:hAnsi="Arial" w:cs="Arial"/>
          <w:b/>
          <w:bCs/>
          <w:sz w:val="20"/>
          <w:szCs w:val="20"/>
        </w:rPr>
        <w:t xml:space="preserve"> para determinar la Prima de Iliquidez</w:t>
      </w:r>
    </w:p>
    <w:p w14:paraId="04CC9A32" w14:textId="484C472B" w:rsidR="00D154C2" w:rsidRDefault="00D154C2" w:rsidP="00D154C2">
      <w:pPr>
        <w:jc w:val="both"/>
        <w:rPr>
          <w:rFonts w:ascii="Arial" w:hAnsi="Arial" w:cs="Arial"/>
          <w:sz w:val="20"/>
          <w:szCs w:val="20"/>
        </w:rPr>
      </w:pPr>
      <w:r>
        <w:rPr>
          <w:rFonts w:ascii="Arial" w:hAnsi="Arial" w:cs="Arial"/>
          <w:sz w:val="20"/>
          <w:szCs w:val="20"/>
        </w:rPr>
        <w:t>La prima de iliquidez se</w:t>
      </w:r>
      <w:r w:rsidR="00453824">
        <w:rPr>
          <w:rFonts w:ascii="Arial" w:hAnsi="Arial" w:cs="Arial"/>
          <w:sz w:val="20"/>
          <w:szCs w:val="20"/>
        </w:rPr>
        <w:t xml:space="preserve"> debe</w:t>
      </w:r>
      <w:r>
        <w:rPr>
          <w:rFonts w:ascii="Arial" w:hAnsi="Arial" w:cs="Arial"/>
          <w:sz w:val="20"/>
          <w:szCs w:val="20"/>
        </w:rPr>
        <w:t xml:space="preserve"> </w:t>
      </w:r>
      <w:r w:rsidRPr="00782881">
        <w:rPr>
          <w:rFonts w:ascii="Arial" w:hAnsi="Arial" w:cs="Arial"/>
          <w:sz w:val="20"/>
          <w:szCs w:val="20"/>
        </w:rPr>
        <w:t>calcula</w:t>
      </w:r>
      <w:r w:rsidR="00453824">
        <w:rPr>
          <w:rFonts w:ascii="Arial" w:hAnsi="Arial" w:cs="Arial"/>
          <w:sz w:val="20"/>
          <w:szCs w:val="20"/>
        </w:rPr>
        <w:t>r</w:t>
      </w:r>
      <w:r w:rsidRPr="00782881">
        <w:rPr>
          <w:rFonts w:ascii="Arial" w:hAnsi="Arial" w:cs="Arial"/>
          <w:sz w:val="20"/>
          <w:szCs w:val="20"/>
        </w:rPr>
        <w:t xml:space="preserve"> como la diferencia entre la rentabilidad ajustada </w:t>
      </w:r>
      <w:r>
        <w:rPr>
          <w:rFonts w:ascii="Arial" w:hAnsi="Arial" w:cs="Arial"/>
          <w:sz w:val="20"/>
          <w:szCs w:val="20"/>
        </w:rPr>
        <w:t xml:space="preserve">por riesgo de crédito </w:t>
      </w:r>
      <w:r w:rsidRPr="00782881">
        <w:rPr>
          <w:rFonts w:ascii="Arial" w:hAnsi="Arial" w:cs="Arial"/>
          <w:sz w:val="20"/>
          <w:szCs w:val="20"/>
        </w:rPr>
        <w:t>de los activos y la tasa libre de riesgo utilizada para descontar los pasivos</w:t>
      </w:r>
      <w:r>
        <w:rPr>
          <w:rFonts w:ascii="Arial" w:hAnsi="Arial" w:cs="Arial"/>
          <w:sz w:val="20"/>
          <w:szCs w:val="20"/>
        </w:rPr>
        <w:t xml:space="preserve">. En </w:t>
      </w:r>
      <w:r w:rsidR="00217B99">
        <w:rPr>
          <w:rFonts w:ascii="Arial" w:hAnsi="Arial" w:cs="Arial"/>
          <w:sz w:val="20"/>
          <w:szCs w:val="20"/>
        </w:rPr>
        <w:t>esta metodología</w:t>
      </w:r>
      <w:r w:rsidRPr="0006650C">
        <w:rPr>
          <w:rFonts w:ascii="Arial" w:hAnsi="Arial" w:cs="Arial"/>
          <w:sz w:val="20"/>
          <w:szCs w:val="20"/>
        </w:rPr>
        <w:t xml:space="preserve"> se analizan </w:t>
      </w:r>
      <w:r>
        <w:rPr>
          <w:rFonts w:ascii="Arial" w:hAnsi="Arial" w:cs="Arial"/>
          <w:sz w:val="20"/>
          <w:szCs w:val="20"/>
        </w:rPr>
        <w:t xml:space="preserve">las rentabilidades </w:t>
      </w:r>
      <w:r w:rsidRPr="0006650C">
        <w:rPr>
          <w:rFonts w:ascii="Arial" w:hAnsi="Arial" w:cs="Arial"/>
          <w:sz w:val="20"/>
          <w:szCs w:val="20"/>
        </w:rPr>
        <w:t>de los activos que respaldan los pasivos de</w:t>
      </w:r>
      <w:r>
        <w:rPr>
          <w:rFonts w:ascii="Arial" w:hAnsi="Arial" w:cs="Arial"/>
          <w:sz w:val="20"/>
          <w:szCs w:val="20"/>
        </w:rPr>
        <w:t xml:space="preserve"> </w:t>
      </w:r>
      <w:r w:rsidRPr="0006650C">
        <w:rPr>
          <w:rFonts w:ascii="Arial" w:hAnsi="Arial" w:cs="Arial"/>
          <w:sz w:val="20"/>
          <w:szCs w:val="20"/>
        </w:rPr>
        <w:t>l</w:t>
      </w:r>
      <w:r>
        <w:rPr>
          <w:rFonts w:ascii="Arial" w:hAnsi="Arial" w:cs="Arial"/>
          <w:sz w:val="20"/>
          <w:szCs w:val="20"/>
        </w:rPr>
        <w:t xml:space="preserve">a entidad </w:t>
      </w:r>
      <w:r w:rsidRPr="0006650C">
        <w:rPr>
          <w:rFonts w:ascii="Arial" w:hAnsi="Arial" w:cs="Arial"/>
          <w:sz w:val="20"/>
          <w:szCs w:val="20"/>
        </w:rPr>
        <w:t>aseguradora</w:t>
      </w:r>
      <w:r>
        <w:rPr>
          <w:rFonts w:ascii="Arial" w:hAnsi="Arial" w:cs="Arial"/>
          <w:sz w:val="20"/>
          <w:szCs w:val="20"/>
        </w:rPr>
        <w:t>, calculado</w:t>
      </w:r>
      <w:r w:rsidRPr="002916A8">
        <w:rPr>
          <w:rFonts w:ascii="Arial" w:hAnsi="Arial" w:cs="Arial"/>
          <w:sz w:val="20"/>
          <w:szCs w:val="20"/>
        </w:rPr>
        <w:t xml:space="preserve"> </w:t>
      </w:r>
      <w:r w:rsidR="00C864A1">
        <w:rPr>
          <w:rFonts w:ascii="Arial" w:hAnsi="Arial" w:cs="Arial"/>
          <w:sz w:val="20"/>
          <w:szCs w:val="20"/>
        </w:rPr>
        <w:t>como:</w:t>
      </w:r>
    </w:p>
    <w:p w14:paraId="384427C3" w14:textId="7DA333ED" w:rsidR="00D154C2" w:rsidRPr="0006650C" w:rsidRDefault="00D154C2" w:rsidP="00D154C2">
      <w:pPr>
        <w:jc w:val="center"/>
        <w:rPr>
          <w:rFonts w:ascii="Arial" w:hAnsi="Arial" w:cs="Arial"/>
          <w:sz w:val="20"/>
          <w:szCs w:val="20"/>
        </w:rPr>
      </w:pPr>
      <m:oMath>
        <m:r>
          <w:rPr>
            <w:rFonts w:ascii="Cambria Math" w:hAnsi="Cambria Math" w:cs="Arial"/>
          </w:rPr>
          <m:t>Prima de iliquidez=</m:t>
        </m:r>
        <m:sSub>
          <m:sSubPr>
            <m:ctrlPr>
              <w:rPr>
                <w:rFonts w:ascii="Cambria Math" w:hAnsi="Cambria Math" w:cs="Arial"/>
                <w:i/>
              </w:rPr>
            </m:ctrlPr>
          </m:sSubPr>
          <m:e>
            <m:r>
              <w:rPr>
                <w:rFonts w:ascii="Cambria Math" w:hAnsi="Cambria Math" w:cs="Arial"/>
              </w:rPr>
              <m:t>TIR</m:t>
            </m:r>
          </m:e>
          <m:sub>
            <m:r>
              <w:rPr>
                <w:rFonts w:ascii="Cambria Math" w:hAnsi="Cambria Math" w:cs="Arial"/>
              </w:rPr>
              <m:t>a</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TIR</m:t>
            </m:r>
          </m:e>
          <m:sub>
            <m:r>
              <w:rPr>
                <w:rFonts w:ascii="Cambria Math" w:hAnsi="Cambria Math" w:cs="Arial"/>
              </w:rPr>
              <m:t>p</m:t>
            </m:r>
          </m:sub>
        </m:sSub>
      </m:oMath>
      <w:r>
        <w:rPr>
          <w:rFonts w:ascii="Arial" w:eastAsiaTheme="minorEastAsia" w:hAnsi="Arial" w:cs="Arial"/>
          <w:sz w:val="20"/>
          <w:szCs w:val="20"/>
        </w:rPr>
        <w:tab/>
      </w:r>
      <w:r>
        <w:rPr>
          <w:rFonts w:ascii="Arial" w:eastAsiaTheme="minorEastAsia" w:hAnsi="Arial" w:cs="Arial"/>
          <w:sz w:val="20"/>
          <w:szCs w:val="20"/>
        </w:rPr>
        <w:tab/>
        <w:t>(1)</w:t>
      </w:r>
    </w:p>
    <w:p w14:paraId="29B640A3" w14:textId="77777777" w:rsidR="00D154C2" w:rsidRDefault="00D154C2" w:rsidP="00D154C2">
      <w:pPr>
        <w:jc w:val="both"/>
        <w:rPr>
          <w:rFonts w:ascii="Arial" w:hAnsi="Arial" w:cs="Arial"/>
          <w:sz w:val="20"/>
          <w:szCs w:val="20"/>
        </w:rPr>
      </w:pPr>
      <w:r w:rsidRPr="002916A8">
        <w:rPr>
          <w:rFonts w:ascii="Arial" w:hAnsi="Arial" w:cs="Arial"/>
          <w:sz w:val="20"/>
          <w:szCs w:val="20"/>
        </w:rPr>
        <w:t>Donde:</w:t>
      </w:r>
    </w:p>
    <w:p w14:paraId="4FDA6ACE" w14:textId="1E54E302" w:rsidR="00D154C2" w:rsidRDefault="00D154C2" w:rsidP="00D154C2">
      <w:pPr>
        <w:jc w:val="both"/>
        <w:rPr>
          <w:rFonts w:ascii="Arial" w:hAnsi="Arial" w:cs="Arial"/>
          <w:sz w:val="20"/>
          <w:szCs w:val="20"/>
        </w:rPr>
      </w:pPr>
      <m:oMath>
        <m:r>
          <w:rPr>
            <w:rFonts w:ascii="Cambria Math" w:hAnsi="Cambria Math" w:cs="Arial"/>
            <w:sz w:val="20"/>
            <w:szCs w:val="20"/>
          </w:rPr>
          <m:t>TI</m:t>
        </m:r>
        <m:sSub>
          <m:sSubPr>
            <m:ctrlPr>
              <w:rPr>
                <w:rFonts w:ascii="Cambria Math" w:hAnsi="Cambria Math" w:cs="Arial"/>
                <w:sz w:val="20"/>
                <w:szCs w:val="20"/>
              </w:rPr>
            </m:ctrlPr>
          </m:sSubPr>
          <m:e>
            <m:r>
              <w:rPr>
                <w:rFonts w:ascii="Cambria Math" w:hAnsi="Cambria Math" w:cs="Arial"/>
                <w:sz w:val="20"/>
                <w:szCs w:val="20"/>
              </w:rPr>
              <m:t>R</m:t>
            </m:r>
          </m:e>
          <m:sub>
            <m:r>
              <w:rPr>
                <w:rFonts w:ascii="Cambria Math" w:hAnsi="Cambria Math" w:cs="Arial"/>
                <w:sz w:val="20"/>
                <w:szCs w:val="20"/>
              </w:rPr>
              <m:t>p</m:t>
            </m:r>
          </m:sub>
        </m:sSub>
      </m:oMath>
      <w:r w:rsidRPr="00344E35">
        <w:rPr>
          <w:rFonts w:ascii="Arial" w:hAnsi="Arial" w:cs="Arial"/>
          <w:sz w:val="20"/>
          <w:szCs w:val="20"/>
        </w:rPr>
        <w:t xml:space="preserve">: </w:t>
      </w:r>
      <w:r w:rsidR="00F102CB">
        <w:rPr>
          <w:rFonts w:ascii="Arial" w:hAnsi="Arial" w:cs="Arial"/>
          <w:sz w:val="20"/>
          <w:szCs w:val="20"/>
        </w:rPr>
        <w:t>c</w:t>
      </w:r>
      <w:r w:rsidRPr="00344E35">
        <w:rPr>
          <w:rFonts w:ascii="Arial" w:hAnsi="Arial" w:cs="Arial"/>
          <w:sz w:val="20"/>
          <w:szCs w:val="20"/>
        </w:rPr>
        <w:t xml:space="preserve">orresponde a la tasa efectiva anual, calculada como la tasa de descuento única que, cuando se aplica a los flujos de efectivo de la cartera de </w:t>
      </w:r>
      <w:r w:rsidR="00470330">
        <w:rPr>
          <w:rFonts w:ascii="Arial" w:hAnsi="Arial" w:cs="Arial"/>
          <w:sz w:val="20"/>
          <w:szCs w:val="20"/>
        </w:rPr>
        <w:t>las</w:t>
      </w:r>
      <w:r w:rsidR="009829E7">
        <w:rPr>
          <w:rFonts w:ascii="Arial" w:hAnsi="Arial" w:cs="Arial"/>
          <w:sz w:val="20"/>
          <w:szCs w:val="20"/>
        </w:rPr>
        <w:t xml:space="preserve"> </w:t>
      </w:r>
      <w:r w:rsidRPr="00344E35">
        <w:rPr>
          <w:rFonts w:ascii="Arial" w:hAnsi="Arial" w:cs="Arial"/>
          <w:sz w:val="20"/>
          <w:szCs w:val="20"/>
        </w:rPr>
        <w:t xml:space="preserve">obligaciones de la entidad aseguradora, se obtiene como resultado un valor equivalente al de la mejor estimación de la cartera de obligaciones, descontadas con el vector de la tasa de interés libre de riesgo, </w:t>
      </w:r>
      <w:r w:rsidR="00C0030D">
        <w:rPr>
          <w:rFonts w:ascii="Arial" w:hAnsi="Arial" w:cs="Arial"/>
          <w:sz w:val="20"/>
          <w:szCs w:val="20"/>
        </w:rPr>
        <w:t>en</w:t>
      </w:r>
      <w:r w:rsidRPr="00344E35">
        <w:rPr>
          <w:rFonts w:ascii="Arial" w:hAnsi="Arial" w:cs="Arial"/>
          <w:sz w:val="20"/>
          <w:szCs w:val="20"/>
        </w:rPr>
        <w:t xml:space="preserve"> la fecha de corte.</w:t>
      </w:r>
    </w:p>
    <w:p w14:paraId="178E2ECD" w14:textId="795C8BE3" w:rsidR="00BF624F" w:rsidRDefault="00D154C2" w:rsidP="00D154C2">
      <w:pPr>
        <w:jc w:val="both"/>
        <w:rPr>
          <w:rFonts w:ascii="Arial" w:hAnsi="Arial" w:cs="Arial"/>
          <w:sz w:val="20"/>
          <w:szCs w:val="20"/>
        </w:rPr>
      </w:pPr>
      <m:oMath>
        <m:r>
          <w:rPr>
            <w:rFonts w:ascii="Cambria Math" w:hAnsi="Cambria Math" w:cs="Arial"/>
            <w:sz w:val="20"/>
            <w:szCs w:val="20"/>
          </w:rPr>
          <m:t>TI</m:t>
        </m:r>
        <m:sSub>
          <m:sSubPr>
            <m:ctrlPr>
              <w:rPr>
                <w:rFonts w:ascii="Cambria Math" w:hAnsi="Cambria Math" w:cs="Arial"/>
                <w:sz w:val="20"/>
                <w:szCs w:val="20"/>
              </w:rPr>
            </m:ctrlPr>
          </m:sSubPr>
          <m:e>
            <m:r>
              <w:rPr>
                <w:rFonts w:ascii="Cambria Math" w:hAnsi="Cambria Math" w:cs="Arial"/>
                <w:sz w:val="20"/>
                <w:szCs w:val="20"/>
              </w:rPr>
              <m:t>R</m:t>
            </m:r>
          </m:e>
          <m:sub>
            <m:r>
              <w:rPr>
                <w:rFonts w:ascii="Cambria Math" w:hAnsi="Cambria Math" w:cs="Arial"/>
                <w:sz w:val="20"/>
                <w:szCs w:val="20"/>
              </w:rPr>
              <m:t>a</m:t>
            </m:r>
          </m:sub>
        </m:sSub>
      </m:oMath>
      <w:r w:rsidRPr="007701A9">
        <w:rPr>
          <w:rFonts w:ascii="Arial" w:hAnsi="Arial" w:cs="Arial"/>
          <w:sz w:val="20"/>
          <w:szCs w:val="20"/>
        </w:rPr>
        <w:t xml:space="preserve">: </w:t>
      </w:r>
      <w:r w:rsidR="00470330">
        <w:rPr>
          <w:rFonts w:ascii="Arial" w:hAnsi="Arial" w:cs="Arial"/>
          <w:sz w:val="20"/>
          <w:szCs w:val="20"/>
        </w:rPr>
        <w:t>c</w:t>
      </w:r>
      <w:r w:rsidRPr="007701A9">
        <w:rPr>
          <w:rFonts w:ascii="Arial" w:hAnsi="Arial" w:cs="Arial"/>
          <w:sz w:val="20"/>
          <w:szCs w:val="20"/>
        </w:rPr>
        <w:t xml:space="preserve">orresponde a la tasa efectiva anual, calculada como el tipo de descuento único que, aplicado a los flujos de efectivo </w:t>
      </w:r>
      <w:r w:rsidR="0060310D">
        <w:rPr>
          <w:rFonts w:ascii="Arial" w:hAnsi="Arial" w:cs="Arial"/>
          <w:sz w:val="20"/>
          <w:szCs w:val="20"/>
        </w:rPr>
        <w:t>del portafolio</w:t>
      </w:r>
      <w:r w:rsidRPr="007701A9">
        <w:rPr>
          <w:rFonts w:ascii="Arial" w:hAnsi="Arial" w:cs="Arial"/>
          <w:sz w:val="20"/>
          <w:szCs w:val="20"/>
        </w:rPr>
        <w:t xml:space="preserve"> de </w:t>
      </w:r>
      <w:r w:rsidR="00470330">
        <w:rPr>
          <w:rFonts w:ascii="Arial" w:hAnsi="Arial" w:cs="Arial"/>
          <w:sz w:val="20"/>
          <w:szCs w:val="20"/>
        </w:rPr>
        <w:t xml:space="preserve">los </w:t>
      </w:r>
      <w:r w:rsidRPr="007701A9">
        <w:rPr>
          <w:rFonts w:ascii="Arial" w:hAnsi="Arial" w:cs="Arial"/>
          <w:sz w:val="20"/>
          <w:szCs w:val="20"/>
        </w:rPr>
        <w:t>activos de la entidad aseguradora</w:t>
      </w:r>
      <w:r w:rsidR="00504189">
        <w:rPr>
          <w:rFonts w:ascii="Arial" w:hAnsi="Arial" w:cs="Arial"/>
          <w:sz w:val="20"/>
          <w:szCs w:val="20"/>
        </w:rPr>
        <w:t>,</w:t>
      </w:r>
      <w:r w:rsidRPr="007701A9">
        <w:rPr>
          <w:rFonts w:ascii="Arial" w:hAnsi="Arial" w:cs="Arial"/>
          <w:sz w:val="20"/>
          <w:szCs w:val="20"/>
        </w:rPr>
        <w:t xml:space="preserve"> da como resultado el valor de mercado de </w:t>
      </w:r>
      <w:r w:rsidR="0022129C">
        <w:rPr>
          <w:rFonts w:ascii="Arial" w:hAnsi="Arial" w:cs="Arial"/>
          <w:sz w:val="20"/>
          <w:szCs w:val="20"/>
        </w:rPr>
        <w:t xml:space="preserve">los </w:t>
      </w:r>
      <w:r w:rsidRPr="007701A9">
        <w:rPr>
          <w:rFonts w:ascii="Arial" w:hAnsi="Arial" w:cs="Arial"/>
          <w:sz w:val="20"/>
          <w:szCs w:val="20"/>
        </w:rPr>
        <w:t>activos admisible</w:t>
      </w:r>
      <w:r w:rsidR="0022129C">
        <w:rPr>
          <w:rFonts w:ascii="Arial" w:hAnsi="Arial" w:cs="Arial"/>
          <w:sz w:val="20"/>
          <w:szCs w:val="20"/>
        </w:rPr>
        <w:t>s</w:t>
      </w:r>
      <w:r w:rsidRPr="007701A9">
        <w:rPr>
          <w:rFonts w:ascii="Arial" w:hAnsi="Arial" w:cs="Arial"/>
          <w:sz w:val="20"/>
          <w:szCs w:val="20"/>
        </w:rPr>
        <w:t xml:space="preserve">, </w:t>
      </w:r>
      <w:r w:rsidR="00C0030D">
        <w:rPr>
          <w:rFonts w:ascii="Arial" w:hAnsi="Arial" w:cs="Arial"/>
          <w:sz w:val="20"/>
          <w:szCs w:val="20"/>
        </w:rPr>
        <w:t>en</w:t>
      </w:r>
      <w:r w:rsidRPr="007701A9">
        <w:rPr>
          <w:rFonts w:ascii="Arial" w:hAnsi="Arial" w:cs="Arial"/>
          <w:sz w:val="20"/>
          <w:szCs w:val="20"/>
        </w:rPr>
        <w:t xml:space="preserve"> la fecha de corte. </w:t>
      </w:r>
    </w:p>
    <w:p w14:paraId="09404684" w14:textId="317CB08F" w:rsidR="00D154C2" w:rsidRPr="007701A9" w:rsidRDefault="00D154C2" w:rsidP="00D154C2">
      <w:pPr>
        <w:jc w:val="both"/>
        <w:rPr>
          <w:rFonts w:ascii="Arial" w:hAnsi="Arial" w:cs="Arial"/>
          <w:sz w:val="20"/>
          <w:szCs w:val="20"/>
        </w:rPr>
      </w:pPr>
      <w:r w:rsidRPr="007701A9">
        <w:rPr>
          <w:rFonts w:ascii="Arial" w:hAnsi="Arial" w:cs="Arial"/>
          <w:sz w:val="20"/>
          <w:szCs w:val="20"/>
        </w:rPr>
        <w:t>Los flujos de efectivo de cada activo de la cartera deben incorporar</w:t>
      </w:r>
      <w:r w:rsidR="00B82D6B">
        <w:rPr>
          <w:rFonts w:ascii="Arial" w:hAnsi="Arial" w:cs="Arial"/>
          <w:sz w:val="20"/>
          <w:szCs w:val="20"/>
        </w:rPr>
        <w:t>:</w:t>
      </w:r>
      <w:r w:rsidRPr="007701A9">
        <w:rPr>
          <w:rFonts w:ascii="Arial" w:hAnsi="Arial" w:cs="Arial"/>
          <w:sz w:val="20"/>
          <w:szCs w:val="20"/>
        </w:rPr>
        <w:t xml:space="preserve"> (i) la probabilidad de incumplimiento y (ii) la tasa de recuperación</w:t>
      </w:r>
      <w:r>
        <w:rPr>
          <w:rFonts w:ascii="Arial" w:hAnsi="Arial" w:cs="Arial"/>
          <w:sz w:val="20"/>
          <w:szCs w:val="20"/>
        </w:rPr>
        <w:t>, calculados de la siguiente manera</w:t>
      </w:r>
      <w:r w:rsidRPr="007701A9">
        <w:rPr>
          <w:rFonts w:ascii="Arial" w:hAnsi="Arial" w:cs="Arial"/>
          <w:sz w:val="20"/>
          <w:szCs w:val="20"/>
        </w:rPr>
        <w:t>:</w:t>
      </w:r>
    </w:p>
    <w:p w14:paraId="01DDFC17" w14:textId="6C9BA1F4" w:rsidR="00D154C2" w:rsidRPr="00DD2C42" w:rsidRDefault="00000000" w:rsidP="00D154C2">
      <w:pPr>
        <w:jc w:val="center"/>
        <w:rPr>
          <w:rFonts w:ascii="Arial" w:eastAsiaTheme="minorEastAsia" w:hAnsi="Arial" w:cs="Arial"/>
          <w:sz w:val="20"/>
          <w:szCs w:val="20"/>
        </w:rPr>
      </w:pPr>
      <m:oMath>
        <m:sSubSup>
          <m:sSubSupPr>
            <m:ctrlPr>
              <w:rPr>
                <w:rFonts w:ascii="Cambria Math" w:hAnsi="Cambria Math"/>
                <w:i/>
              </w:rPr>
            </m:ctrlPr>
          </m:sSubSupPr>
          <m:e>
            <m:r>
              <w:rPr>
                <w:rFonts w:ascii="Cambria Math" w:hAnsi="Cambria Math"/>
              </w:rPr>
              <m:t>F</m:t>
            </m:r>
          </m:e>
          <m:sub>
            <m:r>
              <w:rPr>
                <w:rFonts w:ascii="Cambria Math" w:hAnsi="Cambria Math"/>
              </w:rPr>
              <m:t>j</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j</m:t>
            </m:r>
          </m:sub>
        </m:sSub>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j</m:t>
            </m:r>
          </m:sub>
        </m:sSub>
        <m:d>
          <m:dPr>
            <m:ctrlPr>
              <w:rPr>
                <w:rFonts w:ascii="Cambria Math" w:hAnsi="Cambria Math"/>
                <w:i/>
              </w:rPr>
            </m:ctrlPr>
          </m:dPr>
          <m:e>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e>
        </m:d>
        <m:r>
          <w:rPr>
            <w:rFonts w:ascii="Cambria Math" w:hAnsi="Cambria Math"/>
          </w:rPr>
          <m:t>(RR)</m:t>
        </m:r>
      </m:oMath>
      <w:r w:rsidR="00D154C2">
        <w:rPr>
          <w:rFonts w:eastAsiaTheme="minorEastAsia"/>
        </w:rPr>
        <w:tab/>
      </w:r>
      <w:r w:rsidR="00D154C2">
        <w:rPr>
          <w:rFonts w:eastAsiaTheme="minorEastAsia"/>
        </w:rPr>
        <w:tab/>
      </w:r>
      <w:r w:rsidR="00D154C2">
        <w:rPr>
          <w:rFonts w:ascii="Arial" w:eastAsiaTheme="minorEastAsia" w:hAnsi="Arial" w:cs="Arial"/>
          <w:sz w:val="20"/>
          <w:szCs w:val="20"/>
        </w:rPr>
        <w:t>(2)</w:t>
      </w:r>
    </w:p>
    <w:p w14:paraId="3C1CB26E" w14:textId="77777777" w:rsidR="00D154C2" w:rsidRPr="0076062F" w:rsidRDefault="00D154C2" w:rsidP="00D154C2">
      <w:pPr>
        <w:jc w:val="both"/>
        <w:rPr>
          <w:rFonts w:ascii="Arial" w:hAnsi="Arial" w:cs="Arial"/>
          <w:sz w:val="20"/>
          <w:szCs w:val="20"/>
        </w:rPr>
      </w:pPr>
      <w:r w:rsidRPr="0076062F">
        <w:rPr>
          <w:rFonts w:ascii="Arial" w:hAnsi="Arial" w:cs="Arial"/>
          <w:sz w:val="20"/>
          <w:szCs w:val="20"/>
        </w:rPr>
        <w:t>Donde:</w:t>
      </w:r>
    </w:p>
    <w:p w14:paraId="33F60905" w14:textId="50599EFA" w:rsidR="00D154C2" w:rsidRPr="0076062F" w:rsidRDefault="00000000" w:rsidP="00D154C2">
      <w:pPr>
        <w:jc w:val="both"/>
        <w:rPr>
          <w:rFonts w:ascii="Arial" w:hAnsi="Arial" w:cs="Arial"/>
          <w:sz w:val="20"/>
          <w:szCs w:val="20"/>
        </w:rPr>
      </w:pPr>
      <m:oMath>
        <m:sSubSup>
          <m:sSubSupPr>
            <m:ctrlPr>
              <w:rPr>
                <w:rFonts w:ascii="Cambria Math" w:hAnsi="Cambria Math" w:cs="Arial"/>
                <w:sz w:val="20"/>
                <w:szCs w:val="20"/>
              </w:rPr>
            </m:ctrlPr>
          </m:sSubSupPr>
          <m:e>
            <m:r>
              <w:rPr>
                <w:rFonts w:ascii="Cambria Math" w:hAnsi="Cambria Math" w:cs="Arial"/>
                <w:sz w:val="20"/>
                <w:szCs w:val="20"/>
              </w:rPr>
              <m:t>F</m:t>
            </m:r>
          </m:e>
          <m:sub>
            <m:r>
              <w:rPr>
                <w:rFonts w:ascii="Cambria Math" w:hAnsi="Cambria Math" w:cs="Arial"/>
                <w:sz w:val="20"/>
                <w:szCs w:val="20"/>
              </w:rPr>
              <m:t>j</m:t>
            </m:r>
          </m:sub>
          <m:sup>
            <m:r>
              <m:rPr>
                <m:sty m:val="p"/>
              </m:rPr>
              <w:rPr>
                <w:rFonts w:ascii="Cambria Math" w:hAnsi="Cambria Math" w:cs="Arial"/>
                <w:sz w:val="20"/>
                <w:szCs w:val="20"/>
              </w:rPr>
              <m:t>*</m:t>
            </m:r>
          </m:sup>
        </m:sSubSup>
      </m:oMath>
      <w:r w:rsidR="00D154C2" w:rsidRPr="0076062F">
        <w:rPr>
          <w:rFonts w:ascii="Arial" w:hAnsi="Arial" w:cs="Arial"/>
          <w:sz w:val="20"/>
          <w:szCs w:val="20"/>
        </w:rPr>
        <w:t xml:space="preserve">: </w:t>
      </w:r>
      <w:r w:rsidR="00F815E0">
        <w:rPr>
          <w:rFonts w:ascii="Arial" w:hAnsi="Arial" w:cs="Arial"/>
          <w:sz w:val="20"/>
          <w:szCs w:val="20"/>
        </w:rPr>
        <w:t>c</w:t>
      </w:r>
      <w:r w:rsidR="00D154C2" w:rsidRPr="0076062F">
        <w:rPr>
          <w:rFonts w:ascii="Arial" w:hAnsi="Arial" w:cs="Arial"/>
          <w:sz w:val="20"/>
          <w:szCs w:val="20"/>
        </w:rPr>
        <w:t xml:space="preserve">orresponde a los flujos </w:t>
      </w:r>
      <w:r w:rsidR="00D154C2">
        <w:rPr>
          <w:rFonts w:ascii="Arial" w:hAnsi="Arial" w:cs="Arial"/>
          <w:sz w:val="20"/>
          <w:szCs w:val="20"/>
        </w:rPr>
        <w:t xml:space="preserve">ajustados por riesgo de crédito </w:t>
      </w:r>
      <w:r w:rsidR="00D154C2" w:rsidRPr="0076062F">
        <w:rPr>
          <w:rFonts w:ascii="Arial" w:hAnsi="Arial" w:cs="Arial"/>
          <w:sz w:val="20"/>
          <w:szCs w:val="20"/>
        </w:rPr>
        <w:t>de cada activo en el periodo j.</w:t>
      </w:r>
    </w:p>
    <w:p w14:paraId="00C4D43F" w14:textId="65BDDB63" w:rsidR="00D154C2" w:rsidRDefault="00000000" w:rsidP="00D154C2">
      <w:pPr>
        <w:jc w:val="both"/>
        <w:rPr>
          <w:rFonts w:ascii="Arial" w:hAnsi="Arial" w:cs="Arial"/>
          <w:sz w:val="20"/>
          <w:szCs w:val="20"/>
        </w:rPr>
      </w:pPr>
      <m:oMath>
        <m:sSub>
          <m:sSubPr>
            <m:ctrlPr>
              <w:rPr>
                <w:rFonts w:ascii="Cambria Math" w:hAnsi="Cambria Math" w:cs="Arial"/>
                <w:sz w:val="20"/>
                <w:szCs w:val="20"/>
              </w:rPr>
            </m:ctrlPr>
          </m:sSubPr>
          <m:e>
            <m:r>
              <w:rPr>
                <w:rFonts w:ascii="Cambria Math" w:hAnsi="Cambria Math" w:cs="Arial"/>
                <w:sz w:val="20"/>
                <w:szCs w:val="20"/>
              </w:rPr>
              <m:t>F</m:t>
            </m:r>
          </m:e>
          <m:sub>
            <m:r>
              <w:rPr>
                <w:rFonts w:ascii="Cambria Math" w:hAnsi="Cambria Math" w:cs="Arial"/>
                <w:sz w:val="20"/>
                <w:szCs w:val="20"/>
              </w:rPr>
              <m:t>j</m:t>
            </m:r>
          </m:sub>
        </m:sSub>
      </m:oMath>
      <w:r w:rsidR="00D154C2" w:rsidRPr="0076062F">
        <w:rPr>
          <w:rFonts w:ascii="Arial" w:hAnsi="Arial" w:cs="Arial"/>
          <w:sz w:val="20"/>
          <w:szCs w:val="20"/>
        </w:rPr>
        <w:t xml:space="preserve">: </w:t>
      </w:r>
      <w:r w:rsidR="00A02769">
        <w:rPr>
          <w:rFonts w:ascii="Arial" w:hAnsi="Arial" w:cs="Arial"/>
          <w:sz w:val="20"/>
          <w:szCs w:val="20"/>
        </w:rPr>
        <w:t>c</w:t>
      </w:r>
      <w:r w:rsidR="00D154C2" w:rsidRPr="0076062F">
        <w:rPr>
          <w:rFonts w:ascii="Arial" w:hAnsi="Arial" w:cs="Arial"/>
          <w:sz w:val="20"/>
          <w:szCs w:val="20"/>
        </w:rPr>
        <w:t>orresponde a los flujos esperados de cada activo en el periodo j.</w:t>
      </w:r>
    </w:p>
    <w:p w14:paraId="1A0F16AF" w14:textId="63AF0232" w:rsidR="00D154C2" w:rsidRPr="0076062F" w:rsidRDefault="00D154C2" w:rsidP="00D154C2">
      <w:pPr>
        <w:jc w:val="both"/>
        <w:rPr>
          <w:rFonts w:ascii="Arial" w:hAnsi="Arial" w:cs="Arial"/>
          <w:sz w:val="20"/>
          <w:szCs w:val="20"/>
        </w:rPr>
      </w:pPr>
      <m:oMath>
        <m:r>
          <w:rPr>
            <w:rFonts w:ascii="Cambria Math" w:hAnsi="Cambria Math" w:cs="Arial"/>
            <w:sz w:val="20"/>
            <w:szCs w:val="20"/>
          </w:rPr>
          <m:t>RR</m:t>
        </m:r>
      </m:oMath>
      <w:r w:rsidRPr="00344E35">
        <w:rPr>
          <w:rFonts w:ascii="Arial" w:hAnsi="Arial" w:cs="Arial"/>
          <w:sz w:val="20"/>
          <w:szCs w:val="20"/>
        </w:rPr>
        <w:t xml:space="preserve">: </w:t>
      </w:r>
      <w:r w:rsidR="007E1D40">
        <w:rPr>
          <w:rFonts w:ascii="Arial" w:hAnsi="Arial" w:cs="Arial"/>
          <w:sz w:val="20"/>
          <w:szCs w:val="20"/>
        </w:rPr>
        <w:t>c</w:t>
      </w:r>
      <w:r w:rsidRPr="00344E35">
        <w:rPr>
          <w:rFonts w:ascii="Arial" w:hAnsi="Arial" w:cs="Arial"/>
          <w:sz w:val="20"/>
          <w:szCs w:val="20"/>
        </w:rPr>
        <w:t xml:space="preserve">orresponde a la tasa de recuperación la cual toma un valor </w:t>
      </w:r>
      <w:r w:rsidRPr="0023281F">
        <w:rPr>
          <w:rFonts w:ascii="Arial" w:hAnsi="Arial" w:cs="Arial"/>
          <w:sz w:val="20"/>
          <w:szCs w:val="20"/>
        </w:rPr>
        <w:t>de 30%.</w:t>
      </w:r>
    </w:p>
    <w:p w14:paraId="4FE5E7FA" w14:textId="5160239D" w:rsidR="00D154C2" w:rsidRDefault="00000000" w:rsidP="00D154C2">
      <w:pPr>
        <w:jc w:val="both"/>
        <w:rPr>
          <w:rFonts w:ascii="Arial" w:hAnsi="Arial" w:cs="Arial"/>
          <w:sz w:val="20"/>
          <w:szCs w:val="20"/>
        </w:rPr>
      </w:pPr>
      <m:oMath>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oMath>
      <w:r w:rsidR="00D154C2" w:rsidRPr="00C75A9A">
        <w:rPr>
          <w:rFonts w:ascii="Arial" w:hAnsi="Arial" w:cs="Arial"/>
          <w:sz w:val="20"/>
          <w:szCs w:val="20"/>
        </w:rPr>
        <w:t xml:space="preserve">: </w:t>
      </w:r>
      <w:r w:rsidR="007E1D40" w:rsidRPr="00C75A9A">
        <w:rPr>
          <w:rFonts w:ascii="Arial" w:hAnsi="Arial" w:cs="Arial"/>
          <w:sz w:val="20"/>
          <w:szCs w:val="20"/>
        </w:rPr>
        <w:t>c</w:t>
      </w:r>
      <w:r w:rsidR="00D154C2" w:rsidRPr="00C75A9A">
        <w:rPr>
          <w:rFonts w:ascii="Arial" w:hAnsi="Arial" w:cs="Arial"/>
          <w:sz w:val="20"/>
          <w:szCs w:val="20"/>
        </w:rPr>
        <w:t xml:space="preserve">orresponde a la probabilidad de incumplimiento para cada activo utilizando </w:t>
      </w:r>
      <w:r w:rsidR="0023281F" w:rsidRPr="005E3BA7">
        <w:rPr>
          <w:rFonts w:ascii="Arial" w:hAnsi="Arial" w:cs="Arial"/>
          <w:sz w:val="20"/>
          <w:szCs w:val="20"/>
        </w:rPr>
        <w:t>los valores</w:t>
      </w:r>
      <w:r w:rsidR="00CA0AAC">
        <w:rPr>
          <w:rStyle w:val="Refdenotaalpie"/>
          <w:rFonts w:ascii="Arial" w:hAnsi="Arial" w:cs="Arial"/>
          <w:sz w:val="20"/>
          <w:szCs w:val="20"/>
        </w:rPr>
        <w:footnoteReference w:id="2"/>
      </w:r>
      <w:r w:rsidR="0023281F" w:rsidRPr="005E3BA7">
        <w:rPr>
          <w:rFonts w:ascii="Arial" w:hAnsi="Arial" w:cs="Arial"/>
          <w:sz w:val="20"/>
          <w:szCs w:val="20"/>
        </w:rPr>
        <w:t xml:space="preserve"> </w:t>
      </w:r>
      <w:r w:rsidR="00D154C2" w:rsidRPr="00C75A9A">
        <w:rPr>
          <w:rFonts w:ascii="Arial" w:hAnsi="Arial" w:cs="Arial"/>
          <w:sz w:val="20"/>
          <w:szCs w:val="20"/>
        </w:rPr>
        <w:t xml:space="preserve"> más recientes publicad</w:t>
      </w:r>
      <w:r w:rsidR="00C75A9A" w:rsidRPr="005E3BA7">
        <w:rPr>
          <w:rFonts w:ascii="Arial" w:hAnsi="Arial" w:cs="Arial"/>
          <w:sz w:val="20"/>
          <w:szCs w:val="20"/>
        </w:rPr>
        <w:t>o</w:t>
      </w:r>
      <w:r w:rsidR="00D154C2" w:rsidRPr="00C75A9A">
        <w:rPr>
          <w:rFonts w:ascii="Arial" w:hAnsi="Arial" w:cs="Arial"/>
          <w:sz w:val="20"/>
          <w:szCs w:val="20"/>
        </w:rPr>
        <w:t xml:space="preserve">s a la fecha de corte, para la maduración </w:t>
      </w:r>
      <m:oMath>
        <m:r>
          <w:rPr>
            <w:rFonts w:ascii="Cambria Math" w:hAnsi="Cambria Math" w:cs="Arial"/>
            <w:sz w:val="20"/>
            <w:szCs w:val="20"/>
          </w:rPr>
          <m:t>m</m:t>
        </m:r>
      </m:oMath>
      <w:r w:rsidR="00D154C2" w:rsidRPr="00C75A9A">
        <w:rPr>
          <w:rFonts w:ascii="Arial" w:hAnsi="Arial" w:cs="Arial"/>
          <w:sz w:val="20"/>
          <w:szCs w:val="20"/>
        </w:rPr>
        <w:t xml:space="preserve"> y la calificación </w:t>
      </w:r>
      <m:oMath>
        <m:r>
          <w:rPr>
            <w:rFonts w:ascii="Cambria Math" w:hAnsi="Cambria Math" w:cs="Arial"/>
            <w:sz w:val="20"/>
            <w:szCs w:val="20"/>
          </w:rPr>
          <m:t>c</m:t>
        </m:r>
      </m:oMath>
      <w:r w:rsidR="00D154C2" w:rsidRPr="00C75A9A">
        <w:rPr>
          <w:rFonts w:ascii="Arial" w:hAnsi="Arial" w:cs="Arial"/>
          <w:sz w:val="20"/>
          <w:szCs w:val="20"/>
        </w:rPr>
        <w:t xml:space="preserve">. </w:t>
      </w:r>
    </w:p>
    <w:p w14:paraId="42015433" w14:textId="1EEC2D95" w:rsidR="00D154C2" w:rsidRDefault="00D154C2" w:rsidP="005710B3">
      <w:pPr>
        <w:jc w:val="both"/>
        <w:rPr>
          <w:rFonts w:ascii="Arial" w:hAnsi="Arial" w:cs="Arial"/>
          <w:sz w:val="20"/>
          <w:szCs w:val="20"/>
        </w:rPr>
      </w:pPr>
      <m:oMath>
        <m:r>
          <w:rPr>
            <w:rFonts w:ascii="Cambria Math" w:hAnsi="Cambria Math" w:cs="Arial"/>
            <w:sz w:val="20"/>
            <w:szCs w:val="20"/>
          </w:rPr>
          <m:t>m:</m:t>
        </m:r>
      </m:oMath>
      <w:r>
        <w:rPr>
          <w:rFonts w:ascii="Arial" w:hAnsi="Arial" w:cs="Arial"/>
          <w:sz w:val="20"/>
          <w:szCs w:val="20"/>
        </w:rPr>
        <w:t xml:space="preserve"> </w:t>
      </w:r>
      <w:r w:rsidR="00A2367B">
        <w:rPr>
          <w:rFonts w:ascii="Arial" w:hAnsi="Arial" w:cs="Arial"/>
          <w:sz w:val="20"/>
          <w:szCs w:val="20"/>
        </w:rPr>
        <w:t>la maduración</w:t>
      </w:r>
      <w:r>
        <w:rPr>
          <w:rFonts w:ascii="Arial" w:hAnsi="Arial" w:cs="Arial"/>
          <w:sz w:val="20"/>
          <w:szCs w:val="20"/>
        </w:rPr>
        <w:t xml:space="preserve"> corresponde a la diferencia en años entre la fecha de vencimiento del activo y la fecha de corte de los activos. </w:t>
      </w:r>
    </w:p>
    <w:p w14:paraId="4807F9C0" w14:textId="2C4A62F8" w:rsidR="00D154C2" w:rsidRDefault="00D154C2" w:rsidP="00D154C2">
      <w:pPr>
        <w:jc w:val="both"/>
        <w:rPr>
          <w:rFonts w:ascii="Arial" w:hAnsi="Arial" w:cs="Arial"/>
          <w:sz w:val="20"/>
          <w:szCs w:val="20"/>
        </w:rPr>
      </w:pPr>
      <m:oMath>
        <m:r>
          <w:rPr>
            <w:rFonts w:ascii="Cambria Math" w:hAnsi="Cambria Math" w:cs="Arial"/>
            <w:sz w:val="20"/>
            <w:szCs w:val="20"/>
          </w:rPr>
          <m:t>c:</m:t>
        </m:r>
      </m:oMath>
      <w:r>
        <w:rPr>
          <w:rFonts w:ascii="Arial" w:hAnsi="Arial" w:cs="Arial"/>
          <w:sz w:val="20"/>
          <w:szCs w:val="20"/>
        </w:rPr>
        <w:t xml:space="preserve"> </w:t>
      </w:r>
      <w:r w:rsidR="00391FA8">
        <w:rPr>
          <w:rFonts w:ascii="Arial" w:hAnsi="Arial" w:cs="Arial"/>
          <w:sz w:val="20"/>
          <w:szCs w:val="20"/>
        </w:rPr>
        <w:t xml:space="preserve">la calificación </w:t>
      </w:r>
      <w:r>
        <w:rPr>
          <w:rFonts w:ascii="Arial" w:hAnsi="Arial" w:cs="Arial"/>
          <w:sz w:val="20"/>
          <w:szCs w:val="20"/>
        </w:rPr>
        <w:t xml:space="preserve">es </w:t>
      </w:r>
      <w:r w:rsidR="00391FA8">
        <w:rPr>
          <w:rFonts w:ascii="Arial" w:hAnsi="Arial" w:cs="Arial"/>
          <w:sz w:val="20"/>
          <w:szCs w:val="20"/>
        </w:rPr>
        <w:t>la</w:t>
      </w:r>
      <w:r>
        <w:rPr>
          <w:rFonts w:ascii="Arial" w:hAnsi="Arial" w:cs="Arial"/>
          <w:sz w:val="20"/>
          <w:szCs w:val="20"/>
        </w:rPr>
        <w:t xml:space="preserve"> establecida</w:t>
      </w:r>
      <w:r w:rsidRPr="0076062F">
        <w:rPr>
          <w:rFonts w:ascii="Arial" w:hAnsi="Arial" w:cs="Arial"/>
          <w:sz w:val="20"/>
          <w:szCs w:val="20"/>
        </w:rPr>
        <w:t xml:space="preserve"> teniendo en cuenta la</w:t>
      </w:r>
      <w:r w:rsidR="00453824">
        <w:rPr>
          <w:rFonts w:ascii="Arial" w:hAnsi="Arial" w:cs="Arial"/>
          <w:sz w:val="20"/>
          <w:szCs w:val="20"/>
        </w:rPr>
        <w:t>s</w:t>
      </w:r>
      <w:r w:rsidRPr="0076062F">
        <w:rPr>
          <w:rFonts w:ascii="Arial" w:hAnsi="Arial" w:cs="Arial"/>
          <w:sz w:val="20"/>
          <w:szCs w:val="20"/>
        </w:rPr>
        <w:t xml:space="preserve"> s</w:t>
      </w:r>
      <w:r>
        <w:rPr>
          <w:rFonts w:ascii="Arial" w:hAnsi="Arial" w:cs="Arial"/>
          <w:sz w:val="20"/>
          <w:szCs w:val="20"/>
        </w:rPr>
        <w:t>iguiente</w:t>
      </w:r>
      <w:r w:rsidR="00453824">
        <w:rPr>
          <w:rFonts w:ascii="Arial" w:hAnsi="Arial" w:cs="Arial"/>
          <w:sz w:val="20"/>
          <w:szCs w:val="20"/>
        </w:rPr>
        <w:t>s</w:t>
      </w:r>
      <w:r w:rsidRPr="0076062F">
        <w:rPr>
          <w:rFonts w:ascii="Arial" w:hAnsi="Arial" w:cs="Arial"/>
          <w:sz w:val="20"/>
          <w:szCs w:val="20"/>
        </w:rPr>
        <w:t xml:space="preserve"> tabla</w:t>
      </w:r>
      <w:r w:rsidR="00453824">
        <w:rPr>
          <w:rFonts w:ascii="Arial" w:hAnsi="Arial" w:cs="Arial"/>
          <w:sz w:val="20"/>
          <w:szCs w:val="20"/>
        </w:rPr>
        <w:t>s</w:t>
      </w:r>
      <w:r w:rsidRPr="0076062F">
        <w:rPr>
          <w:rFonts w:ascii="Arial" w:hAnsi="Arial" w:cs="Arial"/>
          <w:sz w:val="20"/>
          <w:szCs w:val="20"/>
        </w:rPr>
        <w:t xml:space="preserve"> de equivalencias</w:t>
      </w:r>
      <w:r w:rsidR="00822EAA">
        <w:rPr>
          <w:rFonts w:ascii="Arial" w:hAnsi="Arial" w:cs="Arial"/>
          <w:sz w:val="20"/>
          <w:szCs w:val="20"/>
        </w:rPr>
        <w:t>:</w:t>
      </w:r>
      <w:r w:rsidRPr="0076062F">
        <w:rPr>
          <w:rFonts w:ascii="Arial" w:hAnsi="Arial" w:cs="Arial"/>
          <w:sz w:val="20"/>
          <w:szCs w:val="20"/>
        </w:rPr>
        <w:t xml:space="preserve"> </w:t>
      </w:r>
    </w:p>
    <w:p w14:paraId="750510B1" w14:textId="77777777" w:rsidR="00D154C2" w:rsidRPr="00FB0C71" w:rsidRDefault="00D154C2" w:rsidP="00453824">
      <w:pPr>
        <w:pStyle w:val="Prrafodelista"/>
        <w:keepNext/>
        <w:numPr>
          <w:ilvl w:val="0"/>
          <w:numId w:val="26"/>
        </w:numPr>
        <w:spacing w:after="160" w:line="259" w:lineRule="auto"/>
        <w:jc w:val="both"/>
        <w:rPr>
          <w:rFonts w:ascii="Arial" w:hAnsi="Arial" w:cs="Arial"/>
          <w:sz w:val="20"/>
          <w:szCs w:val="20"/>
        </w:rPr>
      </w:pPr>
      <w:r>
        <w:rPr>
          <w:rFonts w:ascii="Arial" w:hAnsi="Arial" w:cs="Arial"/>
          <w:sz w:val="20"/>
          <w:szCs w:val="20"/>
        </w:rPr>
        <w:lastRenderedPageBreak/>
        <w:t>Para activos cuyo emisor sea del exterior y cuenten con calificación crediticia de largo plazo en moneda extranjera:</w:t>
      </w:r>
    </w:p>
    <w:p w14:paraId="5E5E3D40" w14:textId="77777777" w:rsidR="00D154C2" w:rsidRDefault="00D154C2" w:rsidP="00453824">
      <w:pPr>
        <w:keepNext/>
        <w:jc w:val="center"/>
        <w:rPr>
          <w:rFonts w:eastAsiaTheme="minorEastAsia"/>
        </w:rPr>
      </w:pPr>
      <w:r w:rsidRPr="00FB0C71">
        <w:rPr>
          <w:rFonts w:hint="eastAsia"/>
          <w:noProof/>
        </w:rPr>
        <w:drawing>
          <wp:inline distT="0" distB="0" distL="0" distR="0" wp14:anchorId="3F19467F" wp14:editId="78DBA389">
            <wp:extent cx="3199765" cy="3143250"/>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9817" cy="3143301"/>
                    </a:xfrm>
                    <a:prstGeom prst="rect">
                      <a:avLst/>
                    </a:prstGeom>
                    <a:noFill/>
                    <a:ln>
                      <a:noFill/>
                    </a:ln>
                  </pic:spPr>
                </pic:pic>
              </a:graphicData>
            </a:graphic>
          </wp:inline>
        </w:drawing>
      </w:r>
    </w:p>
    <w:p w14:paraId="6060B044" w14:textId="0DFB8923" w:rsidR="00D154C2" w:rsidRDefault="00D154C2" w:rsidP="00D154C2">
      <w:pPr>
        <w:pStyle w:val="Prrafodelista"/>
        <w:numPr>
          <w:ilvl w:val="0"/>
          <w:numId w:val="26"/>
        </w:numPr>
        <w:spacing w:after="160" w:line="259" w:lineRule="auto"/>
        <w:rPr>
          <w:rFonts w:ascii="Arial" w:hAnsi="Arial" w:cs="Arial"/>
          <w:sz w:val="20"/>
          <w:szCs w:val="20"/>
        </w:rPr>
      </w:pPr>
      <w:r w:rsidRPr="00A71447">
        <w:rPr>
          <w:rFonts w:ascii="Arial" w:hAnsi="Arial" w:cs="Arial"/>
          <w:sz w:val="20"/>
          <w:szCs w:val="20"/>
        </w:rPr>
        <w:t xml:space="preserve">Para </w:t>
      </w:r>
      <w:r w:rsidR="009D4F17">
        <w:rPr>
          <w:rFonts w:ascii="Arial" w:hAnsi="Arial" w:cs="Arial"/>
          <w:sz w:val="20"/>
          <w:szCs w:val="20"/>
        </w:rPr>
        <w:t>los</w:t>
      </w:r>
      <w:r w:rsidRPr="00A71447">
        <w:rPr>
          <w:rFonts w:ascii="Arial" w:hAnsi="Arial" w:cs="Arial"/>
          <w:sz w:val="20"/>
          <w:szCs w:val="20"/>
        </w:rPr>
        <w:t xml:space="preserve"> activos </w:t>
      </w:r>
      <w:r>
        <w:rPr>
          <w:rFonts w:ascii="Arial" w:hAnsi="Arial" w:cs="Arial"/>
          <w:sz w:val="20"/>
          <w:szCs w:val="20"/>
        </w:rPr>
        <w:t xml:space="preserve">cuyo </w:t>
      </w:r>
      <w:r>
        <w:rPr>
          <w:rFonts w:ascii="Arial" w:hAnsi="Arial" w:cs="Arial"/>
          <w:sz w:val="20"/>
          <w:szCs w:val="20"/>
        </w:rPr>
        <w:t>emisor</w:t>
      </w:r>
      <w:r w:rsidRPr="00A71447">
        <w:rPr>
          <w:rFonts w:ascii="Arial" w:hAnsi="Arial" w:cs="Arial"/>
          <w:sz w:val="20"/>
          <w:szCs w:val="20"/>
        </w:rPr>
        <w:t xml:space="preserve"> </w:t>
      </w:r>
      <w:r w:rsidRPr="00E357EA">
        <w:rPr>
          <w:rFonts w:ascii="Arial" w:hAnsi="Arial" w:cs="Arial"/>
          <w:sz w:val="20"/>
          <w:szCs w:val="20"/>
        </w:rPr>
        <w:t xml:space="preserve">sea </w:t>
      </w:r>
      <w:r>
        <w:rPr>
          <w:rFonts w:ascii="Arial" w:hAnsi="Arial" w:cs="Arial"/>
          <w:sz w:val="20"/>
          <w:szCs w:val="20"/>
        </w:rPr>
        <w:t xml:space="preserve">nacional </w:t>
      </w:r>
      <w:r w:rsidRPr="00E357EA">
        <w:rPr>
          <w:rFonts w:ascii="Arial" w:hAnsi="Arial" w:cs="Arial"/>
          <w:sz w:val="20"/>
          <w:szCs w:val="20"/>
        </w:rPr>
        <w:t>y</w:t>
      </w:r>
      <w:r w:rsidRPr="00A71447">
        <w:rPr>
          <w:rFonts w:ascii="Arial" w:hAnsi="Arial" w:cs="Arial"/>
          <w:sz w:val="20"/>
          <w:szCs w:val="20"/>
        </w:rPr>
        <w:t xml:space="preserve"> cuenten con calificación crediticia de largo plazo en moneda </w:t>
      </w:r>
      <w:r>
        <w:rPr>
          <w:rFonts w:ascii="Arial" w:hAnsi="Arial" w:cs="Arial"/>
          <w:sz w:val="20"/>
          <w:szCs w:val="20"/>
        </w:rPr>
        <w:t>local:</w:t>
      </w:r>
    </w:p>
    <w:p w14:paraId="78570FBE" w14:textId="77777777" w:rsidR="00D154C2" w:rsidRDefault="00D154C2" w:rsidP="00D154C2">
      <w:pPr>
        <w:jc w:val="center"/>
        <w:rPr>
          <w:rFonts w:ascii="Arial" w:hAnsi="Arial" w:cs="Arial"/>
          <w:sz w:val="20"/>
          <w:szCs w:val="20"/>
        </w:rPr>
      </w:pPr>
      <w:r w:rsidRPr="00FB0C71">
        <w:rPr>
          <w:noProof/>
        </w:rPr>
        <w:drawing>
          <wp:inline distT="0" distB="0" distL="0" distR="0" wp14:anchorId="1CAAB2E7" wp14:editId="5B9E0BF4">
            <wp:extent cx="3381554" cy="3463241"/>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9329" cy="3471203"/>
                    </a:xfrm>
                    <a:prstGeom prst="rect">
                      <a:avLst/>
                    </a:prstGeom>
                    <a:noFill/>
                    <a:ln>
                      <a:noFill/>
                    </a:ln>
                  </pic:spPr>
                </pic:pic>
              </a:graphicData>
            </a:graphic>
          </wp:inline>
        </w:drawing>
      </w:r>
    </w:p>
    <w:p w14:paraId="78F8AA2A" w14:textId="77777777" w:rsidR="008F5ADD" w:rsidRDefault="008F5ADD" w:rsidP="00D154C2">
      <w:pPr>
        <w:jc w:val="center"/>
        <w:rPr>
          <w:rFonts w:ascii="Arial" w:hAnsi="Arial" w:cs="Arial"/>
          <w:sz w:val="20"/>
          <w:szCs w:val="20"/>
        </w:rPr>
      </w:pPr>
    </w:p>
    <w:p w14:paraId="3F03F392" w14:textId="04FBB8CC" w:rsidR="00D154C2" w:rsidRDefault="00D154C2" w:rsidP="00453824">
      <w:pPr>
        <w:pStyle w:val="Prrafodelista"/>
        <w:keepNext/>
        <w:numPr>
          <w:ilvl w:val="0"/>
          <w:numId w:val="26"/>
        </w:numPr>
        <w:spacing w:after="160" w:line="259" w:lineRule="auto"/>
        <w:rPr>
          <w:rFonts w:ascii="Arial" w:hAnsi="Arial" w:cs="Arial"/>
          <w:sz w:val="20"/>
          <w:szCs w:val="20"/>
        </w:rPr>
      </w:pPr>
      <w:r w:rsidRPr="00A71447">
        <w:rPr>
          <w:rFonts w:ascii="Arial" w:hAnsi="Arial" w:cs="Arial"/>
          <w:sz w:val="20"/>
          <w:szCs w:val="20"/>
        </w:rPr>
        <w:lastRenderedPageBreak/>
        <w:t xml:space="preserve">Para </w:t>
      </w:r>
      <w:r w:rsidR="001E5B9C">
        <w:rPr>
          <w:rFonts w:ascii="Arial" w:hAnsi="Arial" w:cs="Arial"/>
          <w:sz w:val="20"/>
          <w:szCs w:val="20"/>
        </w:rPr>
        <w:t>los</w:t>
      </w:r>
      <w:r w:rsidRPr="00A71447">
        <w:rPr>
          <w:rFonts w:ascii="Arial" w:hAnsi="Arial" w:cs="Arial"/>
          <w:sz w:val="20"/>
          <w:szCs w:val="20"/>
        </w:rPr>
        <w:t xml:space="preserve"> </w:t>
      </w:r>
      <w:r w:rsidRPr="00A71447">
        <w:rPr>
          <w:rFonts w:ascii="Arial" w:hAnsi="Arial" w:cs="Arial"/>
          <w:sz w:val="20"/>
          <w:szCs w:val="20"/>
        </w:rPr>
        <w:t>activos</w:t>
      </w:r>
      <w:r>
        <w:rPr>
          <w:rFonts w:ascii="Arial" w:hAnsi="Arial" w:cs="Arial"/>
          <w:sz w:val="20"/>
          <w:szCs w:val="20"/>
        </w:rPr>
        <w:t xml:space="preserve"> cuyo emisor</w:t>
      </w:r>
      <w:r w:rsidRPr="00A71447">
        <w:rPr>
          <w:rFonts w:ascii="Arial" w:hAnsi="Arial" w:cs="Arial"/>
          <w:sz w:val="20"/>
          <w:szCs w:val="20"/>
        </w:rPr>
        <w:t xml:space="preserve"> </w:t>
      </w:r>
      <w:r>
        <w:rPr>
          <w:rFonts w:ascii="Arial" w:hAnsi="Arial" w:cs="Arial"/>
          <w:sz w:val="20"/>
          <w:szCs w:val="20"/>
        </w:rPr>
        <w:t>sea nacional</w:t>
      </w:r>
      <w:r w:rsidR="00453824">
        <w:rPr>
          <w:rFonts w:ascii="Arial" w:hAnsi="Arial" w:cs="Arial"/>
          <w:sz w:val="20"/>
          <w:szCs w:val="20"/>
        </w:rPr>
        <w:t xml:space="preserve"> </w:t>
      </w:r>
      <w:r>
        <w:rPr>
          <w:rFonts w:ascii="Arial" w:hAnsi="Arial" w:cs="Arial"/>
          <w:sz w:val="20"/>
          <w:szCs w:val="20"/>
        </w:rPr>
        <w:t>y</w:t>
      </w:r>
      <w:r w:rsidRPr="00A71447">
        <w:rPr>
          <w:rFonts w:ascii="Arial" w:hAnsi="Arial" w:cs="Arial"/>
          <w:sz w:val="20"/>
          <w:szCs w:val="20"/>
        </w:rPr>
        <w:t xml:space="preserve"> cuenten con calificación crediticia de </w:t>
      </w:r>
      <w:r>
        <w:rPr>
          <w:rFonts w:ascii="Arial" w:hAnsi="Arial" w:cs="Arial"/>
          <w:sz w:val="20"/>
          <w:szCs w:val="20"/>
        </w:rPr>
        <w:t>cort</w:t>
      </w:r>
      <w:r w:rsidRPr="00A71447">
        <w:rPr>
          <w:rFonts w:ascii="Arial" w:hAnsi="Arial" w:cs="Arial"/>
          <w:sz w:val="20"/>
          <w:szCs w:val="20"/>
        </w:rPr>
        <w:t>o plazo en moneda</w:t>
      </w:r>
      <w:r>
        <w:rPr>
          <w:rFonts w:ascii="Arial" w:hAnsi="Arial" w:cs="Arial"/>
          <w:sz w:val="20"/>
          <w:szCs w:val="20"/>
        </w:rPr>
        <w:t xml:space="preserve"> local:</w:t>
      </w:r>
    </w:p>
    <w:p w14:paraId="15A3F225" w14:textId="77777777" w:rsidR="00D154C2" w:rsidRDefault="00D154C2" w:rsidP="00453824">
      <w:pPr>
        <w:keepNext/>
        <w:jc w:val="center"/>
        <w:rPr>
          <w:rFonts w:ascii="Arial" w:hAnsi="Arial" w:cs="Arial"/>
          <w:sz w:val="20"/>
          <w:szCs w:val="20"/>
        </w:rPr>
      </w:pPr>
      <w:r w:rsidRPr="00D47AC7">
        <w:rPr>
          <w:noProof/>
        </w:rPr>
        <w:drawing>
          <wp:inline distT="0" distB="0" distL="0" distR="0" wp14:anchorId="593D66C8" wp14:editId="239CEA03">
            <wp:extent cx="4598035" cy="28638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8035" cy="2863850"/>
                    </a:xfrm>
                    <a:prstGeom prst="rect">
                      <a:avLst/>
                    </a:prstGeom>
                    <a:noFill/>
                    <a:ln>
                      <a:noFill/>
                    </a:ln>
                  </pic:spPr>
                </pic:pic>
              </a:graphicData>
            </a:graphic>
          </wp:inline>
        </w:drawing>
      </w:r>
    </w:p>
    <w:p w14:paraId="75D6A173" w14:textId="4F8C8D2E" w:rsidR="008B7C5F" w:rsidRDefault="00D154C2" w:rsidP="00D154C2">
      <w:pPr>
        <w:jc w:val="both"/>
        <w:rPr>
          <w:rFonts w:ascii="Arial" w:hAnsi="Arial" w:cs="Arial"/>
          <w:sz w:val="20"/>
          <w:szCs w:val="20"/>
        </w:rPr>
      </w:pPr>
      <w:r w:rsidRPr="00344E35">
        <w:rPr>
          <w:rFonts w:ascii="Arial" w:hAnsi="Arial" w:cs="Arial"/>
          <w:sz w:val="20"/>
          <w:szCs w:val="20"/>
        </w:rPr>
        <w:t xml:space="preserve">En el caso </w:t>
      </w:r>
      <w:r w:rsidR="00DF37CD">
        <w:rPr>
          <w:rFonts w:ascii="Arial" w:hAnsi="Arial" w:cs="Arial"/>
          <w:sz w:val="20"/>
          <w:szCs w:val="20"/>
        </w:rPr>
        <w:t xml:space="preserve">de </w:t>
      </w:r>
      <w:r w:rsidRPr="00344E35">
        <w:rPr>
          <w:rFonts w:ascii="Arial" w:hAnsi="Arial" w:cs="Arial"/>
          <w:sz w:val="20"/>
          <w:szCs w:val="20"/>
        </w:rPr>
        <w:t xml:space="preserve">que la calificación no se encuentre en la tabla, la calificación será 6 en la escala de EIOPA. Adicionalmente, cuando el activo tenga un plazo superior al publicado por EIOPA se debe emplear la probabilidad que corresponda </w:t>
      </w:r>
      <w:r w:rsidR="00117B6A">
        <w:rPr>
          <w:rFonts w:ascii="Arial" w:hAnsi="Arial" w:cs="Arial"/>
          <w:sz w:val="20"/>
          <w:szCs w:val="20"/>
        </w:rPr>
        <w:t>con</w:t>
      </w:r>
      <w:r>
        <w:rPr>
          <w:rFonts w:ascii="Arial" w:hAnsi="Arial" w:cs="Arial"/>
          <w:sz w:val="20"/>
          <w:szCs w:val="20"/>
        </w:rPr>
        <w:t xml:space="preserve"> </w:t>
      </w:r>
      <w:r w:rsidRPr="00344E35">
        <w:rPr>
          <w:rFonts w:ascii="Arial" w:hAnsi="Arial" w:cs="Arial"/>
          <w:sz w:val="20"/>
          <w:szCs w:val="20"/>
        </w:rPr>
        <w:t>l</w:t>
      </w:r>
      <w:r>
        <w:rPr>
          <w:rFonts w:ascii="Arial" w:hAnsi="Arial" w:cs="Arial"/>
          <w:sz w:val="20"/>
          <w:szCs w:val="20"/>
        </w:rPr>
        <w:t>a del</w:t>
      </w:r>
      <w:r w:rsidRPr="00344E35">
        <w:rPr>
          <w:rFonts w:ascii="Arial" w:hAnsi="Arial" w:cs="Arial"/>
          <w:sz w:val="20"/>
          <w:szCs w:val="20"/>
        </w:rPr>
        <w:t xml:space="preserve"> mayor plazo.</w:t>
      </w:r>
      <w:r w:rsidR="008B7C5F">
        <w:rPr>
          <w:rFonts w:ascii="Arial" w:hAnsi="Arial" w:cs="Arial"/>
          <w:sz w:val="20"/>
          <w:szCs w:val="20"/>
        </w:rPr>
        <w:t xml:space="preserve"> </w:t>
      </w:r>
      <w:r w:rsidR="00CF17E3">
        <w:rPr>
          <w:rFonts w:ascii="Arial" w:hAnsi="Arial" w:cs="Arial"/>
          <w:sz w:val="20"/>
          <w:szCs w:val="20"/>
        </w:rPr>
        <w:t>Si el activo cuenta con más de una calificación se tomará la de mayor riesgo.</w:t>
      </w:r>
    </w:p>
    <w:p w14:paraId="0AE12BE7" w14:textId="77777777" w:rsidR="008B7C5F" w:rsidRPr="00344E35" w:rsidRDefault="008B7C5F" w:rsidP="00D154C2">
      <w:pPr>
        <w:jc w:val="both"/>
        <w:rPr>
          <w:rFonts w:ascii="Arial" w:hAnsi="Arial" w:cs="Arial"/>
          <w:sz w:val="20"/>
          <w:szCs w:val="20"/>
        </w:rPr>
      </w:pPr>
    </w:p>
    <w:p w14:paraId="62C2D9A9" w14:textId="3A5A0E96" w:rsidR="007866E8" w:rsidRPr="00D154C2" w:rsidRDefault="007866E8" w:rsidP="00D154C2"/>
    <w:sectPr w:rsidR="007866E8" w:rsidRPr="00D154C2" w:rsidSect="00782A3E">
      <w:headerReference w:type="default" r:id="rId14"/>
      <w:footerReference w:type="default" r:id="rId15"/>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A8B2F" w14:textId="77777777" w:rsidR="005F32BB" w:rsidRDefault="005F32BB" w:rsidP="00CE4023">
      <w:pPr>
        <w:spacing w:after="0" w:line="240" w:lineRule="auto"/>
      </w:pPr>
      <w:r>
        <w:separator/>
      </w:r>
    </w:p>
  </w:endnote>
  <w:endnote w:type="continuationSeparator" w:id="0">
    <w:p w14:paraId="449BA7E8" w14:textId="77777777" w:rsidR="005F32BB" w:rsidRDefault="005F32BB" w:rsidP="00CE4023">
      <w:pPr>
        <w:spacing w:after="0" w:line="240" w:lineRule="auto"/>
      </w:pPr>
      <w:r>
        <w:continuationSeparator/>
      </w:r>
    </w:p>
  </w:endnote>
  <w:endnote w:type="continuationNotice" w:id="1">
    <w:p w14:paraId="6D3388DD" w14:textId="77777777" w:rsidR="005F32BB" w:rsidRDefault="005F32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A0C71" w14:textId="77777777" w:rsidR="005F32BB" w:rsidRDefault="005F32BB" w:rsidP="00CE4023">
      <w:pPr>
        <w:spacing w:after="0" w:line="240" w:lineRule="auto"/>
      </w:pPr>
      <w:r>
        <w:separator/>
      </w:r>
    </w:p>
  </w:footnote>
  <w:footnote w:type="continuationSeparator" w:id="0">
    <w:p w14:paraId="0B87B135" w14:textId="77777777" w:rsidR="005F32BB" w:rsidRDefault="005F32BB" w:rsidP="00CE4023">
      <w:pPr>
        <w:spacing w:after="0" w:line="240" w:lineRule="auto"/>
      </w:pPr>
      <w:r>
        <w:continuationSeparator/>
      </w:r>
    </w:p>
  </w:footnote>
  <w:footnote w:type="continuationNotice" w:id="1">
    <w:p w14:paraId="4C2BE51F" w14:textId="77777777" w:rsidR="005F32BB" w:rsidRDefault="005F32BB">
      <w:pPr>
        <w:spacing w:after="0" w:line="240" w:lineRule="auto"/>
      </w:pPr>
    </w:p>
  </w:footnote>
  <w:footnote w:id="2">
    <w:p w14:paraId="092C9A1C" w14:textId="559D5ECE" w:rsidR="00CA0AAC" w:rsidRPr="005710B3" w:rsidRDefault="00CA0AAC" w:rsidP="005710B3">
      <w:pPr>
        <w:pStyle w:val="Textonotapie"/>
        <w:jc w:val="both"/>
        <w:rPr>
          <w:rFonts w:ascii="Arial" w:hAnsi="Arial" w:cs="Arial"/>
          <w:sz w:val="18"/>
          <w:szCs w:val="18"/>
          <w:lang w:val="es-MX"/>
        </w:rPr>
      </w:pPr>
      <w:r w:rsidRPr="005710B3">
        <w:rPr>
          <w:rStyle w:val="Refdenotaalpie"/>
          <w:rFonts w:ascii="Arial" w:hAnsi="Arial" w:cs="Arial"/>
          <w:sz w:val="18"/>
          <w:szCs w:val="18"/>
        </w:rPr>
        <w:footnoteRef/>
      </w:r>
      <w:r w:rsidRPr="005710B3">
        <w:rPr>
          <w:rFonts w:ascii="Arial" w:hAnsi="Arial" w:cs="Arial"/>
          <w:sz w:val="18"/>
          <w:szCs w:val="18"/>
        </w:rPr>
        <w:t xml:space="preserve"> Estas probabilidades son publicadas </w:t>
      </w:r>
      <w:r>
        <w:rPr>
          <w:rFonts w:ascii="Arial" w:hAnsi="Arial" w:cs="Arial"/>
          <w:sz w:val="18"/>
          <w:szCs w:val="18"/>
        </w:rPr>
        <w:t xml:space="preserve">periódicamente </w:t>
      </w:r>
      <w:r w:rsidRPr="005710B3">
        <w:rPr>
          <w:rFonts w:ascii="Arial" w:hAnsi="Arial" w:cs="Arial"/>
          <w:sz w:val="18"/>
          <w:szCs w:val="18"/>
        </w:rPr>
        <w:t>por la Autoridad Europea de Seguros y Pensiones de Jubilación (EIOPA, por sus siglas en inglés)</w:t>
      </w:r>
      <w:r w:rsidR="00A97958">
        <w:rPr>
          <w:rFonts w:ascii="Arial" w:hAnsi="Arial" w:cs="Arial"/>
          <w:sz w:val="18"/>
          <w:szCs w:val="18"/>
        </w:rPr>
        <w:t xml:space="preserve"> para diferentes jurisdicciones, incluida Colombia, y </w:t>
      </w:r>
      <w:r w:rsidR="00D03D09">
        <w:rPr>
          <w:rFonts w:ascii="Arial" w:hAnsi="Arial" w:cs="Arial"/>
          <w:sz w:val="18"/>
          <w:szCs w:val="18"/>
        </w:rPr>
        <w:t>están desagregadas a nivel financiero</w:t>
      </w:r>
      <w:r w:rsidR="007F2D02">
        <w:rPr>
          <w:rFonts w:ascii="Arial" w:hAnsi="Arial" w:cs="Arial"/>
          <w:sz w:val="18"/>
          <w:szCs w:val="18"/>
        </w:rPr>
        <w:t xml:space="preserve"> y </w:t>
      </w:r>
      <w:r w:rsidR="0032751A">
        <w:rPr>
          <w:rFonts w:ascii="Arial" w:hAnsi="Arial" w:cs="Arial"/>
          <w:sz w:val="18"/>
          <w:szCs w:val="18"/>
        </w:rPr>
        <w:t>no financiero</w:t>
      </w:r>
      <w:r w:rsidR="00D03D09">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1AF6"/>
    <w:multiLevelType w:val="hybridMultilevel"/>
    <w:tmpl w:val="8F24E9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F207322"/>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F2E114F"/>
    <w:multiLevelType w:val="hybridMultilevel"/>
    <w:tmpl w:val="BDAE3B0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15:restartNumberingAfterBreak="0">
    <w:nsid w:val="1C407068"/>
    <w:multiLevelType w:val="hybridMultilevel"/>
    <w:tmpl w:val="76646E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1E13678B"/>
    <w:multiLevelType w:val="hybridMultilevel"/>
    <w:tmpl w:val="00283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24306F0D"/>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281911B7"/>
    <w:multiLevelType w:val="hybridMultilevel"/>
    <w:tmpl w:val="BE1E0F6E"/>
    <w:lvl w:ilvl="0" w:tplc="F94C7468">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8" w15:restartNumberingAfterBreak="0">
    <w:nsid w:val="2C334D51"/>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2E703223"/>
    <w:multiLevelType w:val="hybridMultilevel"/>
    <w:tmpl w:val="02DCF778"/>
    <w:lvl w:ilvl="0" w:tplc="20F010FC">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0" w15:restartNumberingAfterBreak="0">
    <w:nsid w:val="31F843F2"/>
    <w:multiLevelType w:val="hybridMultilevel"/>
    <w:tmpl w:val="F0A45320"/>
    <w:lvl w:ilvl="0" w:tplc="0C0A000F">
      <w:start w:val="1"/>
      <w:numFmt w:val="decimal"/>
      <w:lvlText w:val="%1."/>
      <w:lvlJc w:val="left"/>
      <w:pPr>
        <w:ind w:left="785"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333E1BE2"/>
    <w:multiLevelType w:val="hybridMultilevel"/>
    <w:tmpl w:val="A79236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943B39"/>
    <w:multiLevelType w:val="hybridMultilevel"/>
    <w:tmpl w:val="B7629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C859B0"/>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373C23"/>
    <w:multiLevelType w:val="multilevel"/>
    <w:tmpl w:val="30AC88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CB202EB"/>
    <w:multiLevelType w:val="hybridMultilevel"/>
    <w:tmpl w:val="399CA546"/>
    <w:lvl w:ilvl="0" w:tplc="BE066FFA">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6" w15:restartNumberingAfterBreak="0">
    <w:nsid w:val="4F036E8F"/>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1B5554C"/>
    <w:multiLevelType w:val="hybridMultilevel"/>
    <w:tmpl w:val="5BC61D92"/>
    <w:lvl w:ilvl="0" w:tplc="0409000F">
      <w:start w:val="1"/>
      <w:numFmt w:val="decimal"/>
      <w:lvlText w:val="%1."/>
      <w:lvlJc w:val="left"/>
      <w:pPr>
        <w:ind w:left="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76C0DCA"/>
    <w:multiLevelType w:val="hybridMultilevel"/>
    <w:tmpl w:val="33B2B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EC90151"/>
    <w:multiLevelType w:val="hybridMultilevel"/>
    <w:tmpl w:val="48E4D3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15:restartNumberingAfterBreak="0">
    <w:nsid w:val="691D5A07"/>
    <w:multiLevelType w:val="hybridMultilevel"/>
    <w:tmpl w:val="C77C80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702B6E2B"/>
    <w:multiLevelType w:val="hybridMultilevel"/>
    <w:tmpl w:val="13CA8956"/>
    <w:lvl w:ilvl="0" w:tplc="F73070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112137E"/>
    <w:multiLevelType w:val="hybridMultilevel"/>
    <w:tmpl w:val="E5C2086C"/>
    <w:lvl w:ilvl="0" w:tplc="6D10559E">
      <w:start w:val="1"/>
      <w:numFmt w:val="decimal"/>
      <w:lvlText w:val="%1."/>
      <w:lvlJc w:val="left"/>
      <w:pPr>
        <w:ind w:left="1800" w:hanging="360"/>
      </w:pPr>
    </w:lvl>
    <w:lvl w:ilvl="1" w:tplc="19AA02AA">
      <w:start w:val="1"/>
      <w:numFmt w:val="decimal"/>
      <w:lvlText w:val="%2."/>
      <w:lvlJc w:val="left"/>
      <w:pPr>
        <w:ind w:left="1800" w:hanging="360"/>
      </w:pPr>
    </w:lvl>
    <w:lvl w:ilvl="2" w:tplc="885A8A42">
      <w:start w:val="1"/>
      <w:numFmt w:val="decimal"/>
      <w:lvlText w:val="%3."/>
      <w:lvlJc w:val="left"/>
      <w:pPr>
        <w:ind w:left="1800" w:hanging="360"/>
      </w:pPr>
    </w:lvl>
    <w:lvl w:ilvl="3" w:tplc="65F25668">
      <w:start w:val="1"/>
      <w:numFmt w:val="decimal"/>
      <w:lvlText w:val="%4."/>
      <w:lvlJc w:val="left"/>
      <w:pPr>
        <w:ind w:left="1800" w:hanging="360"/>
      </w:pPr>
    </w:lvl>
    <w:lvl w:ilvl="4" w:tplc="3BF6D3A6">
      <w:start w:val="1"/>
      <w:numFmt w:val="decimal"/>
      <w:lvlText w:val="%5."/>
      <w:lvlJc w:val="left"/>
      <w:pPr>
        <w:ind w:left="1800" w:hanging="360"/>
      </w:pPr>
    </w:lvl>
    <w:lvl w:ilvl="5" w:tplc="32E8566C">
      <w:start w:val="1"/>
      <w:numFmt w:val="decimal"/>
      <w:lvlText w:val="%6."/>
      <w:lvlJc w:val="left"/>
      <w:pPr>
        <w:ind w:left="1800" w:hanging="360"/>
      </w:pPr>
    </w:lvl>
    <w:lvl w:ilvl="6" w:tplc="D4A0BAC8">
      <w:start w:val="1"/>
      <w:numFmt w:val="decimal"/>
      <w:lvlText w:val="%7."/>
      <w:lvlJc w:val="left"/>
      <w:pPr>
        <w:ind w:left="1800" w:hanging="360"/>
      </w:pPr>
    </w:lvl>
    <w:lvl w:ilvl="7" w:tplc="197AD0C4">
      <w:start w:val="1"/>
      <w:numFmt w:val="decimal"/>
      <w:lvlText w:val="%8."/>
      <w:lvlJc w:val="left"/>
      <w:pPr>
        <w:ind w:left="1800" w:hanging="360"/>
      </w:pPr>
    </w:lvl>
    <w:lvl w:ilvl="8" w:tplc="94ECBE60">
      <w:start w:val="1"/>
      <w:numFmt w:val="decimal"/>
      <w:lvlText w:val="%9."/>
      <w:lvlJc w:val="left"/>
      <w:pPr>
        <w:ind w:left="1800" w:hanging="360"/>
      </w:pPr>
    </w:lvl>
  </w:abstractNum>
  <w:abstractNum w:abstractNumId="23" w15:restartNumberingAfterBreak="0">
    <w:nsid w:val="71BA4FDC"/>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764201B8"/>
    <w:multiLevelType w:val="hybridMultilevel"/>
    <w:tmpl w:val="04C8E5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770708DA"/>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7F8E3DA9"/>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7645445">
    <w:abstractNumId w:val="5"/>
  </w:num>
  <w:num w:numId="2" w16cid:durableId="703751993">
    <w:abstractNumId w:val="11"/>
  </w:num>
  <w:num w:numId="3" w16cid:durableId="1515802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9918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13724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7975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6401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10881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4175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99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1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4917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4492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96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92475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3181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0648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86963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0527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08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1765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79659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571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32967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637072">
    <w:abstractNumId w:val="14"/>
  </w:num>
  <w:num w:numId="26" w16cid:durableId="1488126449">
    <w:abstractNumId w:val="21"/>
  </w:num>
  <w:num w:numId="27" w16cid:durableId="78069073">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1312"/>
    <w:rsid w:val="000021EA"/>
    <w:rsid w:val="00005A15"/>
    <w:rsid w:val="000065EE"/>
    <w:rsid w:val="00012200"/>
    <w:rsid w:val="000201E9"/>
    <w:rsid w:val="00024446"/>
    <w:rsid w:val="00027B4E"/>
    <w:rsid w:val="00032082"/>
    <w:rsid w:val="00040502"/>
    <w:rsid w:val="00040896"/>
    <w:rsid w:val="00040CCD"/>
    <w:rsid w:val="00054CCA"/>
    <w:rsid w:val="00060F82"/>
    <w:rsid w:val="00061705"/>
    <w:rsid w:val="0006260A"/>
    <w:rsid w:val="0006694C"/>
    <w:rsid w:val="00066D2F"/>
    <w:rsid w:val="00072B6B"/>
    <w:rsid w:val="000741DA"/>
    <w:rsid w:val="00074519"/>
    <w:rsid w:val="00074D87"/>
    <w:rsid w:val="0008597D"/>
    <w:rsid w:val="00085BDD"/>
    <w:rsid w:val="000862FD"/>
    <w:rsid w:val="00086798"/>
    <w:rsid w:val="00087588"/>
    <w:rsid w:val="00090767"/>
    <w:rsid w:val="0009175B"/>
    <w:rsid w:val="00092FF9"/>
    <w:rsid w:val="000959E3"/>
    <w:rsid w:val="00097488"/>
    <w:rsid w:val="000A0EF7"/>
    <w:rsid w:val="000A3597"/>
    <w:rsid w:val="000A520A"/>
    <w:rsid w:val="000A5599"/>
    <w:rsid w:val="000B0359"/>
    <w:rsid w:val="000B3006"/>
    <w:rsid w:val="000B4CD2"/>
    <w:rsid w:val="000B69AC"/>
    <w:rsid w:val="000B71E5"/>
    <w:rsid w:val="000B7EFD"/>
    <w:rsid w:val="000C0B54"/>
    <w:rsid w:val="000C4193"/>
    <w:rsid w:val="000D04C6"/>
    <w:rsid w:val="000D47CF"/>
    <w:rsid w:val="000D5616"/>
    <w:rsid w:val="000D5EB8"/>
    <w:rsid w:val="000E1252"/>
    <w:rsid w:val="000E1EB8"/>
    <w:rsid w:val="000E2C07"/>
    <w:rsid w:val="000E5AD2"/>
    <w:rsid w:val="000E60CF"/>
    <w:rsid w:val="000E6BC3"/>
    <w:rsid w:val="000F0D62"/>
    <w:rsid w:val="000F2F85"/>
    <w:rsid w:val="000F34FE"/>
    <w:rsid w:val="000F5107"/>
    <w:rsid w:val="001021C6"/>
    <w:rsid w:val="0010265B"/>
    <w:rsid w:val="00102A92"/>
    <w:rsid w:val="00103FD5"/>
    <w:rsid w:val="001040DD"/>
    <w:rsid w:val="00104F31"/>
    <w:rsid w:val="0010735B"/>
    <w:rsid w:val="0011076B"/>
    <w:rsid w:val="00114459"/>
    <w:rsid w:val="00114572"/>
    <w:rsid w:val="00114933"/>
    <w:rsid w:val="001168B1"/>
    <w:rsid w:val="00117791"/>
    <w:rsid w:val="00117B6A"/>
    <w:rsid w:val="001247CB"/>
    <w:rsid w:val="00124988"/>
    <w:rsid w:val="001250EC"/>
    <w:rsid w:val="001279A5"/>
    <w:rsid w:val="00131046"/>
    <w:rsid w:val="001318E0"/>
    <w:rsid w:val="00133F92"/>
    <w:rsid w:val="00134E94"/>
    <w:rsid w:val="00134EDA"/>
    <w:rsid w:val="001376D8"/>
    <w:rsid w:val="001379C8"/>
    <w:rsid w:val="00143241"/>
    <w:rsid w:val="00144D81"/>
    <w:rsid w:val="00145F34"/>
    <w:rsid w:val="001464AB"/>
    <w:rsid w:val="0015071C"/>
    <w:rsid w:val="00150D70"/>
    <w:rsid w:val="00151094"/>
    <w:rsid w:val="00151AB4"/>
    <w:rsid w:val="00152D32"/>
    <w:rsid w:val="00153EDD"/>
    <w:rsid w:val="00157970"/>
    <w:rsid w:val="00157C39"/>
    <w:rsid w:val="00163187"/>
    <w:rsid w:val="00165F39"/>
    <w:rsid w:val="00173FDB"/>
    <w:rsid w:val="0017630D"/>
    <w:rsid w:val="00177BD4"/>
    <w:rsid w:val="00181370"/>
    <w:rsid w:val="001819E2"/>
    <w:rsid w:val="00182FA2"/>
    <w:rsid w:val="00190040"/>
    <w:rsid w:val="00190831"/>
    <w:rsid w:val="00191651"/>
    <w:rsid w:val="0019502A"/>
    <w:rsid w:val="00195F9C"/>
    <w:rsid w:val="001964A4"/>
    <w:rsid w:val="001965E0"/>
    <w:rsid w:val="00196D4A"/>
    <w:rsid w:val="00197E4D"/>
    <w:rsid w:val="001A08ED"/>
    <w:rsid w:val="001A1688"/>
    <w:rsid w:val="001A204B"/>
    <w:rsid w:val="001A3D38"/>
    <w:rsid w:val="001A6A02"/>
    <w:rsid w:val="001A73EF"/>
    <w:rsid w:val="001A78F2"/>
    <w:rsid w:val="001B2647"/>
    <w:rsid w:val="001B3A46"/>
    <w:rsid w:val="001B4221"/>
    <w:rsid w:val="001B58C9"/>
    <w:rsid w:val="001B6A96"/>
    <w:rsid w:val="001B76BD"/>
    <w:rsid w:val="001C4DC4"/>
    <w:rsid w:val="001C5AE0"/>
    <w:rsid w:val="001C6D5C"/>
    <w:rsid w:val="001C7CF9"/>
    <w:rsid w:val="001D1188"/>
    <w:rsid w:val="001D30A3"/>
    <w:rsid w:val="001D60B0"/>
    <w:rsid w:val="001E15A8"/>
    <w:rsid w:val="001E1C7E"/>
    <w:rsid w:val="001E1CB8"/>
    <w:rsid w:val="001E214A"/>
    <w:rsid w:val="001E36BA"/>
    <w:rsid w:val="001E38D8"/>
    <w:rsid w:val="001E5B9C"/>
    <w:rsid w:val="001E729A"/>
    <w:rsid w:val="001F1C66"/>
    <w:rsid w:val="001F45AE"/>
    <w:rsid w:val="00200F1C"/>
    <w:rsid w:val="00202821"/>
    <w:rsid w:val="002040F1"/>
    <w:rsid w:val="00205F8D"/>
    <w:rsid w:val="00207B95"/>
    <w:rsid w:val="00212965"/>
    <w:rsid w:val="00216DD7"/>
    <w:rsid w:val="00217B99"/>
    <w:rsid w:val="00220F50"/>
    <w:rsid w:val="0022129C"/>
    <w:rsid w:val="00224B40"/>
    <w:rsid w:val="002250D3"/>
    <w:rsid w:val="002262EA"/>
    <w:rsid w:val="00226B05"/>
    <w:rsid w:val="00230F08"/>
    <w:rsid w:val="0023281F"/>
    <w:rsid w:val="0023588A"/>
    <w:rsid w:val="00236578"/>
    <w:rsid w:val="00241D8F"/>
    <w:rsid w:val="002475F0"/>
    <w:rsid w:val="00247921"/>
    <w:rsid w:val="002506A0"/>
    <w:rsid w:val="00251310"/>
    <w:rsid w:val="00251959"/>
    <w:rsid w:val="002519AD"/>
    <w:rsid w:val="00257C3A"/>
    <w:rsid w:val="00260AFA"/>
    <w:rsid w:val="00261991"/>
    <w:rsid w:val="00261AD1"/>
    <w:rsid w:val="00261B03"/>
    <w:rsid w:val="00262746"/>
    <w:rsid w:val="00263591"/>
    <w:rsid w:val="002642C1"/>
    <w:rsid w:val="00267E3A"/>
    <w:rsid w:val="00272153"/>
    <w:rsid w:val="00273370"/>
    <w:rsid w:val="00277223"/>
    <w:rsid w:val="00285CA6"/>
    <w:rsid w:val="00287A74"/>
    <w:rsid w:val="00290A62"/>
    <w:rsid w:val="0029467A"/>
    <w:rsid w:val="00295C56"/>
    <w:rsid w:val="002A2138"/>
    <w:rsid w:val="002A2727"/>
    <w:rsid w:val="002A57E5"/>
    <w:rsid w:val="002A66DB"/>
    <w:rsid w:val="002A6990"/>
    <w:rsid w:val="002A730E"/>
    <w:rsid w:val="002B139F"/>
    <w:rsid w:val="002B1F69"/>
    <w:rsid w:val="002B3FEE"/>
    <w:rsid w:val="002B6D4C"/>
    <w:rsid w:val="002C3CFE"/>
    <w:rsid w:val="002D1049"/>
    <w:rsid w:val="002D291D"/>
    <w:rsid w:val="002D385E"/>
    <w:rsid w:val="002D3EA0"/>
    <w:rsid w:val="002D53BD"/>
    <w:rsid w:val="002D5F27"/>
    <w:rsid w:val="002D65E1"/>
    <w:rsid w:val="002E0763"/>
    <w:rsid w:val="002E080F"/>
    <w:rsid w:val="002E2F89"/>
    <w:rsid w:val="002E39B7"/>
    <w:rsid w:val="002F08FB"/>
    <w:rsid w:val="002F59C7"/>
    <w:rsid w:val="002F6584"/>
    <w:rsid w:val="00301E4E"/>
    <w:rsid w:val="00310CC9"/>
    <w:rsid w:val="00311224"/>
    <w:rsid w:val="00311604"/>
    <w:rsid w:val="00312161"/>
    <w:rsid w:val="00313CA6"/>
    <w:rsid w:val="00314E3B"/>
    <w:rsid w:val="00315128"/>
    <w:rsid w:val="003155F2"/>
    <w:rsid w:val="0032106F"/>
    <w:rsid w:val="0032224E"/>
    <w:rsid w:val="00324D34"/>
    <w:rsid w:val="0032687A"/>
    <w:rsid w:val="0032751A"/>
    <w:rsid w:val="00327654"/>
    <w:rsid w:val="00330E22"/>
    <w:rsid w:val="0033112F"/>
    <w:rsid w:val="00333676"/>
    <w:rsid w:val="00336056"/>
    <w:rsid w:val="00336C93"/>
    <w:rsid w:val="00341131"/>
    <w:rsid w:val="00343305"/>
    <w:rsid w:val="00343C23"/>
    <w:rsid w:val="00343EED"/>
    <w:rsid w:val="00355D06"/>
    <w:rsid w:val="00363709"/>
    <w:rsid w:val="00363D1F"/>
    <w:rsid w:val="003708FA"/>
    <w:rsid w:val="00374F2B"/>
    <w:rsid w:val="00380DE7"/>
    <w:rsid w:val="003815F2"/>
    <w:rsid w:val="00383084"/>
    <w:rsid w:val="00391FA8"/>
    <w:rsid w:val="00396188"/>
    <w:rsid w:val="003964CB"/>
    <w:rsid w:val="003A2A47"/>
    <w:rsid w:val="003A323C"/>
    <w:rsid w:val="003A34B2"/>
    <w:rsid w:val="003B019F"/>
    <w:rsid w:val="003B30FD"/>
    <w:rsid w:val="003B7469"/>
    <w:rsid w:val="003C0330"/>
    <w:rsid w:val="003C0B3C"/>
    <w:rsid w:val="003C1924"/>
    <w:rsid w:val="003C3705"/>
    <w:rsid w:val="003C69AA"/>
    <w:rsid w:val="003C70FF"/>
    <w:rsid w:val="003C773D"/>
    <w:rsid w:val="003C7AF9"/>
    <w:rsid w:val="003D1136"/>
    <w:rsid w:val="003D3324"/>
    <w:rsid w:val="003D405D"/>
    <w:rsid w:val="003D6B0F"/>
    <w:rsid w:val="003E17E6"/>
    <w:rsid w:val="003E220B"/>
    <w:rsid w:val="003E3857"/>
    <w:rsid w:val="003E39AF"/>
    <w:rsid w:val="003E4602"/>
    <w:rsid w:val="003E741A"/>
    <w:rsid w:val="003F2560"/>
    <w:rsid w:val="003F303D"/>
    <w:rsid w:val="003F331C"/>
    <w:rsid w:val="00400A71"/>
    <w:rsid w:val="00401E16"/>
    <w:rsid w:val="00403A38"/>
    <w:rsid w:val="00410198"/>
    <w:rsid w:val="00410A73"/>
    <w:rsid w:val="00414F46"/>
    <w:rsid w:val="00420A2E"/>
    <w:rsid w:val="00420C68"/>
    <w:rsid w:val="00421209"/>
    <w:rsid w:val="00421C98"/>
    <w:rsid w:val="00422564"/>
    <w:rsid w:val="004228FE"/>
    <w:rsid w:val="00423515"/>
    <w:rsid w:val="0042434D"/>
    <w:rsid w:val="00424E73"/>
    <w:rsid w:val="00425E36"/>
    <w:rsid w:val="00426798"/>
    <w:rsid w:val="00426ACA"/>
    <w:rsid w:val="00432B46"/>
    <w:rsid w:val="00433956"/>
    <w:rsid w:val="004346CE"/>
    <w:rsid w:val="00434BFA"/>
    <w:rsid w:val="00436056"/>
    <w:rsid w:val="0043621A"/>
    <w:rsid w:val="00436E6A"/>
    <w:rsid w:val="004402C3"/>
    <w:rsid w:val="00442B11"/>
    <w:rsid w:val="00443A6B"/>
    <w:rsid w:val="00446374"/>
    <w:rsid w:val="004465C4"/>
    <w:rsid w:val="00451EFA"/>
    <w:rsid w:val="00452BF3"/>
    <w:rsid w:val="00453824"/>
    <w:rsid w:val="00454382"/>
    <w:rsid w:val="00454E79"/>
    <w:rsid w:val="00455020"/>
    <w:rsid w:val="00455636"/>
    <w:rsid w:val="00455CB9"/>
    <w:rsid w:val="00460067"/>
    <w:rsid w:val="00463BD3"/>
    <w:rsid w:val="00463F0C"/>
    <w:rsid w:val="00467B62"/>
    <w:rsid w:val="00467DA6"/>
    <w:rsid w:val="00470330"/>
    <w:rsid w:val="00473DF8"/>
    <w:rsid w:val="00474CA8"/>
    <w:rsid w:val="00474EB9"/>
    <w:rsid w:val="004755EF"/>
    <w:rsid w:val="00475F49"/>
    <w:rsid w:val="004774FE"/>
    <w:rsid w:val="004817DC"/>
    <w:rsid w:val="00481B68"/>
    <w:rsid w:val="00482B2A"/>
    <w:rsid w:val="00483D81"/>
    <w:rsid w:val="004847A1"/>
    <w:rsid w:val="00484FEB"/>
    <w:rsid w:val="00486581"/>
    <w:rsid w:val="00486C88"/>
    <w:rsid w:val="00487EEC"/>
    <w:rsid w:val="004914F2"/>
    <w:rsid w:val="00492104"/>
    <w:rsid w:val="00497153"/>
    <w:rsid w:val="004A005B"/>
    <w:rsid w:val="004A3D62"/>
    <w:rsid w:val="004A56CC"/>
    <w:rsid w:val="004B1175"/>
    <w:rsid w:val="004B1361"/>
    <w:rsid w:val="004B3F84"/>
    <w:rsid w:val="004B4973"/>
    <w:rsid w:val="004C1263"/>
    <w:rsid w:val="004C253C"/>
    <w:rsid w:val="004C4E76"/>
    <w:rsid w:val="004C5FC2"/>
    <w:rsid w:val="004C7C1D"/>
    <w:rsid w:val="004C7C81"/>
    <w:rsid w:val="004D198F"/>
    <w:rsid w:val="004D31DA"/>
    <w:rsid w:val="004D50B8"/>
    <w:rsid w:val="004D5783"/>
    <w:rsid w:val="004D60B4"/>
    <w:rsid w:val="004D60F9"/>
    <w:rsid w:val="004D6278"/>
    <w:rsid w:val="004E21F4"/>
    <w:rsid w:val="004E234B"/>
    <w:rsid w:val="004E3C2B"/>
    <w:rsid w:val="004E46DD"/>
    <w:rsid w:val="004E47CA"/>
    <w:rsid w:val="004E7A38"/>
    <w:rsid w:val="004F1E7B"/>
    <w:rsid w:val="004F319F"/>
    <w:rsid w:val="004F32D4"/>
    <w:rsid w:val="004F4297"/>
    <w:rsid w:val="00501AA5"/>
    <w:rsid w:val="00501C1F"/>
    <w:rsid w:val="0050299F"/>
    <w:rsid w:val="00503E8D"/>
    <w:rsid w:val="00504189"/>
    <w:rsid w:val="00506296"/>
    <w:rsid w:val="00511002"/>
    <w:rsid w:val="00511B4B"/>
    <w:rsid w:val="0051241E"/>
    <w:rsid w:val="00514051"/>
    <w:rsid w:val="0051432C"/>
    <w:rsid w:val="00530B0A"/>
    <w:rsid w:val="005328A4"/>
    <w:rsid w:val="00533CD9"/>
    <w:rsid w:val="0053490B"/>
    <w:rsid w:val="00534D56"/>
    <w:rsid w:val="00536944"/>
    <w:rsid w:val="00537945"/>
    <w:rsid w:val="00542A96"/>
    <w:rsid w:val="00543492"/>
    <w:rsid w:val="00544602"/>
    <w:rsid w:val="005446CF"/>
    <w:rsid w:val="0055093D"/>
    <w:rsid w:val="00552FDB"/>
    <w:rsid w:val="00553DD9"/>
    <w:rsid w:val="00555811"/>
    <w:rsid w:val="0055742A"/>
    <w:rsid w:val="00560F96"/>
    <w:rsid w:val="00563A90"/>
    <w:rsid w:val="0056671C"/>
    <w:rsid w:val="005710B3"/>
    <w:rsid w:val="00571564"/>
    <w:rsid w:val="0057174D"/>
    <w:rsid w:val="005739B8"/>
    <w:rsid w:val="00576991"/>
    <w:rsid w:val="005816C7"/>
    <w:rsid w:val="00585727"/>
    <w:rsid w:val="00586D8C"/>
    <w:rsid w:val="00587545"/>
    <w:rsid w:val="0059202D"/>
    <w:rsid w:val="00595A62"/>
    <w:rsid w:val="00595B2E"/>
    <w:rsid w:val="0059660E"/>
    <w:rsid w:val="005A09B6"/>
    <w:rsid w:val="005A30B5"/>
    <w:rsid w:val="005A51AB"/>
    <w:rsid w:val="005A657B"/>
    <w:rsid w:val="005B657D"/>
    <w:rsid w:val="005B7FE6"/>
    <w:rsid w:val="005C03FB"/>
    <w:rsid w:val="005C775A"/>
    <w:rsid w:val="005D2F79"/>
    <w:rsid w:val="005D50D0"/>
    <w:rsid w:val="005E09A4"/>
    <w:rsid w:val="005E1DC7"/>
    <w:rsid w:val="005E335D"/>
    <w:rsid w:val="005E3BA7"/>
    <w:rsid w:val="005E41FC"/>
    <w:rsid w:val="005E52B5"/>
    <w:rsid w:val="005E6655"/>
    <w:rsid w:val="005E6FA8"/>
    <w:rsid w:val="005F32BB"/>
    <w:rsid w:val="005F54BF"/>
    <w:rsid w:val="005F6AAA"/>
    <w:rsid w:val="0060225F"/>
    <w:rsid w:val="0060310D"/>
    <w:rsid w:val="00603C8C"/>
    <w:rsid w:val="0060519A"/>
    <w:rsid w:val="00606140"/>
    <w:rsid w:val="00606EBA"/>
    <w:rsid w:val="00613C66"/>
    <w:rsid w:val="006177DD"/>
    <w:rsid w:val="00620689"/>
    <w:rsid w:val="00624F7E"/>
    <w:rsid w:val="00627997"/>
    <w:rsid w:val="00631BAF"/>
    <w:rsid w:val="00641D2C"/>
    <w:rsid w:val="006437C2"/>
    <w:rsid w:val="00643CF8"/>
    <w:rsid w:val="00645998"/>
    <w:rsid w:val="006466BA"/>
    <w:rsid w:val="00651497"/>
    <w:rsid w:val="00651E7A"/>
    <w:rsid w:val="0065219C"/>
    <w:rsid w:val="00654954"/>
    <w:rsid w:val="00655912"/>
    <w:rsid w:val="0065614A"/>
    <w:rsid w:val="00656B15"/>
    <w:rsid w:val="00660A4A"/>
    <w:rsid w:val="00665645"/>
    <w:rsid w:val="0067222B"/>
    <w:rsid w:val="0067235A"/>
    <w:rsid w:val="00672576"/>
    <w:rsid w:val="00674CE1"/>
    <w:rsid w:val="00685653"/>
    <w:rsid w:val="0068567D"/>
    <w:rsid w:val="00685CD8"/>
    <w:rsid w:val="00694439"/>
    <w:rsid w:val="00697563"/>
    <w:rsid w:val="006A076F"/>
    <w:rsid w:val="006A49D2"/>
    <w:rsid w:val="006A4F60"/>
    <w:rsid w:val="006A7597"/>
    <w:rsid w:val="006B0050"/>
    <w:rsid w:val="006B1023"/>
    <w:rsid w:val="006B29B9"/>
    <w:rsid w:val="006B552A"/>
    <w:rsid w:val="006C3C27"/>
    <w:rsid w:val="006C5794"/>
    <w:rsid w:val="006D03AC"/>
    <w:rsid w:val="006D0743"/>
    <w:rsid w:val="006D2E36"/>
    <w:rsid w:val="006D2E66"/>
    <w:rsid w:val="006D424B"/>
    <w:rsid w:val="006E1942"/>
    <w:rsid w:val="006E3EDC"/>
    <w:rsid w:val="006E6A27"/>
    <w:rsid w:val="006F080C"/>
    <w:rsid w:val="006F2711"/>
    <w:rsid w:val="006F385F"/>
    <w:rsid w:val="006F735D"/>
    <w:rsid w:val="006F7CF4"/>
    <w:rsid w:val="007015EE"/>
    <w:rsid w:val="0070389C"/>
    <w:rsid w:val="00704995"/>
    <w:rsid w:val="00705C82"/>
    <w:rsid w:val="00706ACA"/>
    <w:rsid w:val="00706BAD"/>
    <w:rsid w:val="007232CD"/>
    <w:rsid w:val="00723C66"/>
    <w:rsid w:val="00724109"/>
    <w:rsid w:val="00725F70"/>
    <w:rsid w:val="007303B7"/>
    <w:rsid w:val="00731ED6"/>
    <w:rsid w:val="00741B8E"/>
    <w:rsid w:val="00742C01"/>
    <w:rsid w:val="007519BC"/>
    <w:rsid w:val="0075337F"/>
    <w:rsid w:val="007573A5"/>
    <w:rsid w:val="007614E3"/>
    <w:rsid w:val="00762CC9"/>
    <w:rsid w:val="00764720"/>
    <w:rsid w:val="00765098"/>
    <w:rsid w:val="007653DE"/>
    <w:rsid w:val="00766626"/>
    <w:rsid w:val="007708CC"/>
    <w:rsid w:val="00772CAA"/>
    <w:rsid w:val="007738E1"/>
    <w:rsid w:val="00773A70"/>
    <w:rsid w:val="007764E5"/>
    <w:rsid w:val="007819A8"/>
    <w:rsid w:val="00782A3E"/>
    <w:rsid w:val="0078543F"/>
    <w:rsid w:val="007866E8"/>
    <w:rsid w:val="00786E8C"/>
    <w:rsid w:val="0078732C"/>
    <w:rsid w:val="0078797D"/>
    <w:rsid w:val="00790108"/>
    <w:rsid w:val="00790F4C"/>
    <w:rsid w:val="00791D0E"/>
    <w:rsid w:val="00792056"/>
    <w:rsid w:val="007920E9"/>
    <w:rsid w:val="00796F9A"/>
    <w:rsid w:val="00797378"/>
    <w:rsid w:val="007A552D"/>
    <w:rsid w:val="007A7253"/>
    <w:rsid w:val="007A76AD"/>
    <w:rsid w:val="007B048F"/>
    <w:rsid w:val="007B622F"/>
    <w:rsid w:val="007C028D"/>
    <w:rsid w:val="007C4EC3"/>
    <w:rsid w:val="007C583A"/>
    <w:rsid w:val="007C5ABA"/>
    <w:rsid w:val="007C6519"/>
    <w:rsid w:val="007C674A"/>
    <w:rsid w:val="007C6842"/>
    <w:rsid w:val="007C71D4"/>
    <w:rsid w:val="007D2191"/>
    <w:rsid w:val="007D3BFB"/>
    <w:rsid w:val="007D7ED0"/>
    <w:rsid w:val="007E1D40"/>
    <w:rsid w:val="007E1DD2"/>
    <w:rsid w:val="007E671D"/>
    <w:rsid w:val="007E73E4"/>
    <w:rsid w:val="007E7CA9"/>
    <w:rsid w:val="007F078E"/>
    <w:rsid w:val="007F09DD"/>
    <w:rsid w:val="007F10AF"/>
    <w:rsid w:val="007F24D1"/>
    <w:rsid w:val="007F2D02"/>
    <w:rsid w:val="007F370A"/>
    <w:rsid w:val="007F3941"/>
    <w:rsid w:val="007F3BD3"/>
    <w:rsid w:val="007F4371"/>
    <w:rsid w:val="007F68DB"/>
    <w:rsid w:val="008000FD"/>
    <w:rsid w:val="00800103"/>
    <w:rsid w:val="00802DEC"/>
    <w:rsid w:val="008041D6"/>
    <w:rsid w:val="0080484A"/>
    <w:rsid w:val="008053B8"/>
    <w:rsid w:val="008059F0"/>
    <w:rsid w:val="0080748C"/>
    <w:rsid w:val="0081035F"/>
    <w:rsid w:val="00817B40"/>
    <w:rsid w:val="00817CD5"/>
    <w:rsid w:val="00822EAA"/>
    <w:rsid w:val="0082395A"/>
    <w:rsid w:val="00825ACF"/>
    <w:rsid w:val="00826594"/>
    <w:rsid w:val="0082776B"/>
    <w:rsid w:val="00830F75"/>
    <w:rsid w:val="00832ACE"/>
    <w:rsid w:val="00833CC6"/>
    <w:rsid w:val="00841716"/>
    <w:rsid w:val="00841A43"/>
    <w:rsid w:val="008425C6"/>
    <w:rsid w:val="00852554"/>
    <w:rsid w:val="008634EC"/>
    <w:rsid w:val="00863744"/>
    <w:rsid w:val="00863E0C"/>
    <w:rsid w:val="00865D82"/>
    <w:rsid w:val="00866522"/>
    <w:rsid w:val="00867420"/>
    <w:rsid w:val="00871A15"/>
    <w:rsid w:val="00871A33"/>
    <w:rsid w:val="008739AD"/>
    <w:rsid w:val="00873E15"/>
    <w:rsid w:val="008756A3"/>
    <w:rsid w:val="00875789"/>
    <w:rsid w:val="00876FA4"/>
    <w:rsid w:val="00877844"/>
    <w:rsid w:val="00880803"/>
    <w:rsid w:val="008875DD"/>
    <w:rsid w:val="0089275D"/>
    <w:rsid w:val="00892B5D"/>
    <w:rsid w:val="00893CFC"/>
    <w:rsid w:val="00896E53"/>
    <w:rsid w:val="00897A5E"/>
    <w:rsid w:val="00897C58"/>
    <w:rsid w:val="008A3DDB"/>
    <w:rsid w:val="008A4AB6"/>
    <w:rsid w:val="008A509F"/>
    <w:rsid w:val="008A5152"/>
    <w:rsid w:val="008A6320"/>
    <w:rsid w:val="008B1EC3"/>
    <w:rsid w:val="008B22C5"/>
    <w:rsid w:val="008B38B3"/>
    <w:rsid w:val="008B3EDC"/>
    <w:rsid w:val="008B7C5F"/>
    <w:rsid w:val="008C1327"/>
    <w:rsid w:val="008C45CF"/>
    <w:rsid w:val="008C45FB"/>
    <w:rsid w:val="008C483A"/>
    <w:rsid w:val="008C4E08"/>
    <w:rsid w:val="008C57E7"/>
    <w:rsid w:val="008C7683"/>
    <w:rsid w:val="008D11A8"/>
    <w:rsid w:val="008D2188"/>
    <w:rsid w:val="008D21AF"/>
    <w:rsid w:val="008D621A"/>
    <w:rsid w:val="008D7F0A"/>
    <w:rsid w:val="008E15D8"/>
    <w:rsid w:val="008F07F7"/>
    <w:rsid w:val="008F1DFE"/>
    <w:rsid w:val="008F59B2"/>
    <w:rsid w:val="008F5ADD"/>
    <w:rsid w:val="008F5EB6"/>
    <w:rsid w:val="008F654B"/>
    <w:rsid w:val="00900CE7"/>
    <w:rsid w:val="00901726"/>
    <w:rsid w:val="009021F9"/>
    <w:rsid w:val="00902B85"/>
    <w:rsid w:val="00902DD8"/>
    <w:rsid w:val="0090309F"/>
    <w:rsid w:val="009037AD"/>
    <w:rsid w:val="00905752"/>
    <w:rsid w:val="0090770F"/>
    <w:rsid w:val="00907BE1"/>
    <w:rsid w:val="00910A9C"/>
    <w:rsid w:val="00911790"/>
    <w:rsid w:val="00913F26"/>
    <w:rsid w:val="009148C8"/>
    <w:rsid w:val="00917751"/>
    <w:rsid w:val="00924B7A"/>
    <w:rsid w:val="00926C85"/>
    <w:rsid w:val="00926E4B"/>
    <w:rsid w:val="0092741D"/>
    <w:rsid w:val="00930D02"/>
    <w:rsid w:val="00933C64"/>
    <w:rsid w:val="00936750"/>
    <w:rsid w:val="0093722C"/>
    <w:rsid w:val="00941ADE"/>
    <w:rsid w:val="009476C5"/>
    <w:rsid w:val="00947C94"/>
    <w:rsid w:val="009512B3"/>
    <w:rsid w:val="00951AC3"/>
    <w:rsid w:val="00953AA7"/>
    <w:rsid w:val="009552A2"/>
    <w:rsid w:val="009556E9"/>
    <w:rsid w:val="00956E76"/>
    <w:rsid w:val="0096393D"/>
    <w:rsid w:val="00972C0D"/>
    <w:rsid w:val="0097392D"/>
    <w:rsid w:val="009807AE"/>
    <w:rsid w:val="00980EEA"/>
    <w:rsid w:val="00981075"/>
    <w:rsid w:val="009829E7"/>
    <w:rsid w:val="00984134"/>
    <w:rsid w:val="009875F2"/>
    <w:rsid w:val="00992291"/>
    <w:rsid w:val="00993124"/>
    <w:rsid w:val="0099766C"/>
    <w:rsid w:val="009A2DA3"/>
    <w:rsid w:val="009A4B56"/>
    <w:rsid w:val="009B28B3"/>
    <w:rsid w:val="009B2EA9"/>
    <w:rsid w:val="009B438C"/>
    <w:rsid w:val="009B4787"/>
    <w:rsid w:val="009B4A40"/>
    <w:rsid w:val="009B6E3E"/>
    <w:rsid w:val="009B715E"/>
    <w:rsid w:val="009C010C"/>
    <w:rsid w:val="009C0352"/>
    <w:rsid w:val="009C0659"/>
    <w:rsid w:val="009C0AA5"/>
    <w:rsid w:val="009C2C5D"/>
    <w:rsid w:val="009C44FB"/>
    <w:rsid w:val="009C5AED"/>
    <w:rsid w:val="009C5D20"/>
    <w:rsid w:val="009C6225"/>
    <w:rsid w:val="009C7D7F"/>
    <w:rsid w:val="009D0DE7"/>
    <w:rsid w:val="009D2F9C"/>
    <w:rsid w:val="009D4A80"/>
    <w:rsid w:val="009D4F17"/>
    <w:rsid w:val="009E3002"/>
    <w:rsid w:val="009E46AE"/>
    <w:rsid w:val="009E4832"/>
    <w:rsid w:val="009E55D7"/>
    <w:rsid w:val="009E57C0"/>
    <w:rsid w:val="009E5D26"/>
    <w:rsid w:val="009E613A"/>
    <w:rsid w:val="009E6F90"/>
    <w:rsid w:val="009F04B1"/>
    <w:rsid w:val="009F1A26"/>
    <w:rsid w:val="009F27FF"/>
    <w:rsid w:val="009F2D86"/>
    <w:rsid w:val="009F3A09"/>
    <w:rsid w:val="009F5639"/>
    <w:rsid w:val="009F56C1"/>
    <w:rsid w:val="009F5C16"/>
    <w:rsid w:val="00A00DBE"/>
    <w:rsid w:val="00A02769"/>
    <w:rsid w:val="00A13F82"/>
    <w:rsid w:val="00A17391"/>
    <w:rsid w:val="00A20E8F"/>
    <w:rsid w:val="00A2367B"/>
    <w:rsid w:val="00A241EC"/>
    <w:rsid w:val="00A272EC"/>
    <w:rsid w:val="00A304C9"/>
    <w:rsid w:val="00A30FCC"/>
    <w:rsid w:val="00A330F3"/>
    <w:rsid w:val="00A35C22"/>
    <w:rsid w:val="00A36D72"/>
    <w:rsid w:val="00A36EF2"/>
    <w:rsid w:val="00A42C0C"/>
    <w:rsid w:val="00A45063"/>
    <w:rsid w:val="00A456B3"/>
    <w:rsid w:val="00A465DB"/>
    <w:rsid w:val="00A469EC"/>
    <w:rsid w:val="00A47B15"/>
    <w:rsid w:val="00A47E76"/>
    <w:rsid w:val="00A507DF"/>
    <w:rsid w:val="00A51C5F"/>
    <w:rsid w:val="00A53136"/>
    <w:rsid w:val="00A5603E"/>
    <w:rsid w:val="00A61B9A"/>
    <w:rsid w:val="00A646CA"/>
    <w:rsid w:val="00A65D03"/>
    <w:rsid w:val="00A70D84"/>
    <w:rsid w:val="00A7212C"/>
    <w:rsid w:val="00A72FC2"/>
    <w:rsid w:val="00A746F8"/>
    <w:rsid w:val="00A74D19"/>
    <w:rsid w:val="00A750B7"/>
    <w:rsid w:val="00A75601"/>
    <w:rsid w:val="00A76DD4"/>
    <w:rsid w:val="00A814E8"/>
    <w:rsid w:val="00A85390"/>
    <w:rsid w:val="00A910D3"/>
    <w:rsid w:val="00A95694"/>
    <w:rsid w:val="00A95E61"/>
    <w:rsid w:val="00A95EC3"/>
    <w:rsid w:val="00A97958"/>
    <w:rsid w:val="00AB077F"/>
    <w:rsid w:val="00AB260F"/>
    <w:rsid w:val="00AB26E9"/>
    <w:rsid w:val="00AB2932"/>
    <w:rsid w:val="00AB3B8A"/>
    <w:rsid w:val="00AB5C43"/>
    <w:rsid w:val="00AC0B67"/>
    <w:rsid w:val="00AC1CC4"/>
    <w:rsid w:val="00AC57F5"/>
    <w:rsid w:val="00AC6B7F"/>
    <w:rsid w:val="00AC78DF"/>
    <w:rsid w:val="00AD0BBC"/>
    <w:rsid w:val="00AD10F4"/>
    <w:rsid w:val="00AD2E70"/>
    <w:rsid w:val="00AE0121"/>
    <w:rsid w:val="00AE12C8"/>
    <w:rsid w:val="00AE3B0F"/>
    <w:rsid w:val="00AE6439"/>
    <w:rsid w:val="00AE7B7A"/>
    <w:rsid w:val="00AF625A"/>
    <w:rsid w:val="00AF65FE"/>
    <w:rsid w:val="00AF690A"/>
    <w:rsid w:val="00AF7763"/>
    <w:rsid w:val="00B00493"/>
    <w:rsid w:val="00B019AE"/>
    <w:rsid w:val="00B0419C"/>
    <w:rsid w:val="00B05AED"/>
    <w:rsid w:val="00B06692"/>
    <w:rsid w:val="00B13B2A"/>
    <w:rsid w:val="00B144C3"/>
    <w:rsid w:val="00B145F7"/>
    <w:rsid w:val="00B15075"/>
    <w:rsid w:val="00B16A23"/>
    <w:rsid w:val="00B22305"/>
    <w:rsid w:val="00B3083C"/>
    <w:rsid w:val="00B43210"/>
    <w:rsid w:val="00B54CB4"/>
    <w:rsid w:val="00B56BA4"/>
    <w:rsid w:val="00B57A81"/>
    <w:rsid w:val="00B63275"/>
    <w:rsid w:val="00B63498"/>
    <w:rsid w:val="00B63499"/>
    <w:rsid w:val="00B66E80"/>
    <w:rsid w:val="00B672C0"/>
    <w:rsid w:val="00B72535"/>
    <w:rsid w:val="00B80A32"/>
    <w:rsid w:val="00B82D6B"/>
    <w:rsid w:val="00B92E8B"/>
    <w:rsid w:val="00B9315D"/>
    <w:rsid w:val="00B93350"/>
    <w:rsid w:val="00B93FD0"/>
    <w:rsid w:val="00B9535E"/>
    <w:rsid w:val="00B979BE"/>
    <w:rsid w:val="00BA0309"/>
    <w:rsid w:val="00BA10D9"/>
    <w:rsid w:val="00BA13AA"/>
    <w:rsid w:val="00BA16F6"/>
    <w:rsid w:val="00BA1B9F"/>
    <w:rsid w:val="00BA1EC4"/>
    <w:rsid w:val="00BA261B"/>
    <w:rsid w:val="00BA367F"/>
    <w:rsid w:val="00BA477B"/>
    <w:rsid w:val="00BA4A1B"/>
    <w:rsid w:val="00BA696D"/>
    <w:rsid w:val="00BB1B54"/>
    <w:rsid w:val="00BB3855"/>
    <w:rsid w:val="00BB3F15"/>
    <w:rsid w:val="00BB587D"/>
    <w:rsid w:val="00BB5DF4"/>
    <w:rsid w:val="00BB6A00"/>
    <w:rsid w:val="00BC03D4"/>
    <w:rsid w:val="00BC2E62"/>
    <w:rsid w:val="00BC3804"/>
    <w:rsid w:val="00BC4281"/>
    <w:rsid w:val="00BC5601"/>
    <w:rsid w:val="00BC625C"/>
    <w:rsid w:val="00BD1692"/>
    <w:rsid w:val="00BD16AD"/>
    <w:rsid w:val="00BE2288"/>
    <w:rsid w:val="00BE256C"/>
    <w:rsid w:val="00BE32B4"/>
    <w:rsid w:val="00BE7E63"/>
    <w:rsid w:val="00BF26C9"/>
    <w:rsid w:val="00BF2DB2"/>
    <w:rsid w:val="00BF53F7"/>
    <w:rsid w:val="00BF624F"/>
    <w:rsid w:val="00C0030D"/>
    <w:rsid w:val="00C0256D"/>
    <w:rsid w:val="00C0577F"/>
    <w:rsid w:val="00C067DC"/>
    <w:rsid w:val="00C06971"/>
    <w:rsid w:val="00C06D5B"/>
    <w:rsid w:val="00C12061"/>
    <w:rsid w:val="00C1562D"/>
    <w:rsid w:val="00C1606B"/>
    <w:rsid w:val="00C174C2"/>
    <w:rsid w:val="00C23AE1"/>
    <w:rsid w:val="00C259D3"/>
    <w:rsid w:val="00C27D10"/>
    <w:rsid w:val="00C30316"/>
    <w:rsid w:val="00C317F2"/>
    <w:rsid w:val="00C3342A"/>
    <w:rsid w:val="00C338A7"/>
    <w:rsid w:val="00C34CA1"/>
    <w:rsid w:val="00C4144C"/>
    <w:rsid w:val="00C457C6"/>
    <w:rsid w:val="00C46784"/>
    <w:rsid w:val="00C513E4"/>
    <w:rsid w:val="00C54C2B"/>
    <w:rsid w:val="00C560C8"/>
    <w:rsid w:val="00C6188D"/>
    <w:rsid w:val="00C62818"/>
    <w:rsid w:val="00C72725"/>
    <w:rsid w:val="00C74825"/>
    <w:rsid w:val="00C752A9"/>
    <w:rsid w:val="00C755EC"/>
    <w:rsid w:val="00C75678"/>
    <w:rsid w:val="00C75A9A"/>
    <w:rsid w:val="00C819D9"/>
    <w:rsid w:val="00C82888"/>
    <w:rsid w:val="00C864A1"/>
    <w:rsid w:val="00C92A0C"/>
    <w:rsid w:val="00C93168"/>
    <w:rsid w:val="00C945FB"/>
    <w:rsid w:val="00CA0AAC"/>
    <w:rsid w:val="00CA1F4C"/>
    <w:rsid w:val="00CA2068"/>
    <w:rsid w:val="00CA65F9"/>
    <w:rsid w:val="00CB5691"/>
    <w:rsid w:val="00CB61DC"/>
    <w:rsid w:val="00CB6556"/>
    <w:rsid w:val="00CB7C0C"/>
    <w:rsid w:val="00CC0704"/>
    <w:rsid w:val="00CC2214"/>
    <w:rsid w:val="00CC2CBE"/>
    <w:rsid w:val="00CC2F2B"/>
    <w:rsid w:val="00CC3537"/>
    <w:rsid w:val="00CC689D"/>
    <w:rsid w:val="00CD0749"/>
    <w:rsid w:val="00CD2D08"/>
    <w:rsid w:val="00CD3FF3"/>
    <w:rsid w:val="00CD6870"/>
    <w:rsid w:val="00CE0769"/>
    <w:rsid w:val="00CE387A"/>
    <w:rsid w:val="00CE4023"/>
    <w:rsid w:val="00CE47F0"/>
    <w:rsid w:val="00CE57DB"/>
    <w:rsid w:val="00CF0292"/>
    <w:rsid w:val="00CF17E3"/>
    <w:rsid w:val="00CF22B4"/>
    <w:rsid w:val="00CF2F79"/>
    <w:rsid w:val="00CF3E7F"/>
    <w:rsid w:val="00CF4C3F"/>
    <w:rsid w:val="00CF4C7D"/>
    <w:rsid w:val="00CF6177"/>
    <w:rsid w:val="00CF6E5A"/>
    <w:rsid w:val="00CF6FCF"/>
    <w:rsid w:val="00CF7FEF"/>
    <w:rsid w:val="00D0329A"/>
    <w:rsid w:val="00D03D09"/>
    <w:rsid w:val="00D1080F"/>
    <w:rsid w:val="00D12B28"/>
    <w:rsid w:val="00D13442"/>
    <w:rsid w:val="00D154C2"/>
    <w:rsid w:val="00D2013D"/>
    <w:rsid w:val="00D22BC8"/>
    <w:rsid w:val="00D24A0B"/>
    <w:rsid w:val="00D253F6"/>
    <w:rsid w:val="00D27692"/>
    <w:rsid w:val="00D33592"/>
    <w:rsid w:val="00D3571F"/>
    <w:rsid w:val="00D36C0A"/>
    <w:rsid w:val="00D4055B"/>
    <w:rsid w:val="00D41DB7"/>
    <w:rsid w:val="00D45202"/>
    <w:rsid w:val="00D45D01"/>
    <w:rsid w:val="00D4698C"/>
    <w:rsid w:val="00D50494"/>
    <w:rsid w:val="00D51D15"/>
    <w:rsid w:val="00D54EDC"/>
    <w:rsid w:val="00D611BE"/>
    <w:rsid w:val="00D616C3"/>
    <w:rsid w:val="00D64017"/>
    <w:rsid w:val="00D647DA"/>
    <w:rsid w:val="00D64D44"/>
    <w:rsid w:val="00D64DDB"/>
    <w:rsid w:val="00D664D1"/>
    <w:rsid w:val="00D66612"/>
    <w:rsid w:val="00D70AF1"/>
    <w:rsid w:val="00D70C61"/>
    <w:rsid w:val="00D756A0"/>
    <w:rsid w:val="00D756CB"/>
    <w:rsid w:val="00D75E69"/>
    <w:rsid w:val="00D7657D"/>
    <w:rsid w:val="00D77AA9"/>
    <w:rsid w:val="00D823D1"/>
    <w:rsid w:val="00D84810"/>
    <w:rsid w:val="00D849D4"/>
    <w:rsid w:val="00D859AB"/>
    <w:rsid w:val="00D876C8"/>
    <w:rsid w:val="00D87FDD"/>
    <w:rsid w:val="00D93480"/>
    <w:rsid w:val="00D9369A"/>
    <w:rsid w:val="00D93BC2"/>
    <w:rsid w:val="00D95019"/>
    <w:rsid w:val="00D978DC"/>
    <w:rsid w:val="00DA1898"/>
    <w:rsid w:val="00DA1FF6"/>
    <w:rsid w:val="00DA771B"/>
    <w:rsid w:val="00DB143E"/>
    <w:rsid w:val="00DB2309"/>
    <w:rsid w:val="00DB2964"/>
    <w:rsid w:val="00DB30FB"/>
    <w:rsid w:val="00DB5CF5"/>
    <w:rsid w:val="00DB7970"/>
    <w:rsid w:val="00DC25A0"/>
    <w:rsid w:val="00DC322B"/>
    <w:rsid w:val="00DC4C0F"/>
    <w:rsid w:val="00DD161B"/>
    <w:rsid w:val="00DD3085"/>
    <w:rsid w:val="00DD78B6"/>
    <w:rsid w:val="00DE0F46"/>
    <w:rsid w:val="00DE14A4"/>
    <w:rsid w:val="00DE14F6"/>
    <w:rsid w:val="00DE74DF"/>
    <w:rsid w:val="00DF2712"/>
    <w:rsid w:val="00DF28DB"/>
    <w:rsid w:val="00DF37CD"/>
    <w:rsid w:val="00DF6879"/>
    <w:rsid w:val="00DF73CE"/>
    <w:rsid w:val="00E047CF"/>
    <w:rsid w:val="00E04D53"/>
    <w:rsid w:val="00E07599"/>
    <w:rsid w:val="00E07CB4"/>
    <w:rsid w:val="00E122EB"/>
    <w:rsid w:val="00E124B8"/>
    <w:rsid w:val="00E14662"/>
    <w:rsid w:val="00E15981"/>
    <w:rsid w:val="00E168DE"/>
    <w:rsid w:val="00E173BB"/>
    <w:rsid w:val="00E17C60"/>
    <w:rsid w:val="00E17E1A"/>
    <w:rsid w:val="00E21136"/>
    <w:rsid w:val="00E219D4"/>
    <w:rsid w:val="00E24DEA"/>
    <w:rsid w:val="00E2596B"/>
    <w:rsid w:val="00E2649D"/>
    <w:rsid w:val="00E30113"/>
    <w:rsid w:val="00E33943"/>
    <w:rsid w:val="00E350AB"/>
    <w:rsid w:val="00E356D9"/>
    <w:rsid w:val="00E3604D"/>
    <w:rsid w:val="00E40531"/>
    <w:rsid w:val="00E40D8C"/>
    <w:rsid w:val="00E412EF"/>
    <w:rsid w:val="00E414FF"/>
    <w:rsid w:val="00E454A1"/>
    <w:rsid w:val="00E47367"/>
    <w:rsid w:val="00E52E5C"/>
    <w:rsid w:val="00E548F4"/>
    <w:rsid w:val="00E57B58"/>
    <w:rsid w:val="00E605FF"/>
    <w:rsid w:val="00E61443"/>
    <w:rsid w:val="00E648C1"/>
    <w:rsid w:val="00E6578E"/>
    <w:rsid w:val="00E66593"/>
    <w:rsid w:val="00E72E0E"/>
    <w:rsid w:val="00E74E68"/>
    <w:rsid w:val="00E751BD"/>
    <w:rsid w:val="00E755E5"/>
    <w:rsid w:val="00E7750C"/>
    <w:rsid w:val="00E77BE2"/>
    <w:rsid w:val="00E80C33"/>
    <w:rsid w:val="00E81704"/>
    <w:rsid w:val="00E828DE"/>
    <w:rsid w:val="00E82E32"/>
    <w:rsid w:val="00E83B40"/>
    <w:rsid w:val="00E84B4A"/>
    <w:rsid w:val="00E85A97"/>
    <w:rsid w:val="00E90268"/>
    <w:rsid w:val="00E9088D"/>
    <w:rsid w:val="00E946A5"/>
    <w:rsid w:val="00E95336"/>
    <w:rsid w:val="00E9650F"/>
    <w:rsid w:val="00EA12DF"/>
    <w:rsid w:val="00EA4FC6"/>
    <w:rsid w:val="00EA6AFF"/>
    <w:rsid w:val="00EA6BEB"/>
    <w:rsid w:val="00EB2428"/>
    <w:rsid w:val="00EB3523"/>
    <w:rsid w:val="00EB442D"/>
    <w:rsid w:val="00EB5341"/>
    <w:rsid w:val="00EC2D88"/>
    <w:rsid w:val="00EC59A5"/>
    <w:rsid w:val="00ED0990"/>
    <w:rsid w:val="00ED2073"/>
    <w:rsid w:val="00ED4B85"/>
    <w:rsid w:val="00EE0D93"/>
    <w:rsid w:val="00EE333D"/>
    <w:rsid w:val="00EE3371"/>
    <w:rsid w:val="00EE4E9D"/>
    <w:rsid w:val="00EE764F"/>
    <w:rsid w:val="00EE7DCC"/>
    <w:rsid w:val="00EF0A82"/>
    <w:rsid w:val="00EF223D"/>
    <w:rsid w:val="00EF278A"/>
    <w:rsid w:val="00EF2E73"/>
    <w:rsid w:val="00EF3B9E"/>
    <w:rsid w:val="00EF5FF0"/>
    <w:rsid w:val="00F00B82"/>
    <w:rsid w:val="00F03DC1"/>
    <w:rsid w:val="00F04878"/>
    <w:rsid w:val="00F04B37"/>
    <w:rsid w:val="00F05F66"/>
    <w:rsid w:val="00F102CB"/>
    <w:rsid w:val="00F122B0"/>
    <w:rsid w:val="00F128B7"/>
    <w:rsid w:val="00F14C8A"/>
    <w:rsid w:val="00F14DD6"/>
    <w:rsid w:val="00F16169"/>
    <w:rsid w:val="00F16FB6"/>
    <w:rsid w:val="00F17923"/>
    <w:rsid w:val="00F236EE"/>
    <w:rsid w:val="00F237A6"/>
    <w:rsid w:val="00F23BCA"/>
    <w:rsid w:val="00F23F7E"/>
    <w:rsid w:val="00F24F04"/>
    <w:rsid w:val="00F25EAE"/>
    <w:rsid w:val="00F26ED8"/>
    <w:rsid w:val="00F30308"/>
    <w:rsid w:val="00F303A6"/>
    <w:rsid w:val="00F32807"/>
    <w:rsid w:val="00F33901"/>
    <w:rsid w:val="00F33D70"/>
    <w:rsid w:val="00F3588E"/>
    <w:rsid w:val="00F44F4C"/>
    <w:rsid w:val="00F4575F"/>
    <w:rsid w:val="00F45A71"/>
    <w:rsid w:val="00F46018"/>
    <w:rsid w:val="00F53E9A"/>
    <w:rsid w:val="00F6077D"/>
    <w:rsid w:val="00F63B4B"/>
    <w:rsid w:val="00F65C0D"/>
    <w:rsid w:val="00F75D0F"/>
    <w:rsid w:val="00F80B1E"/>
    <w:rsid w:val="00F81212"/>
    <w:rsid w:val="00F815E0"/>
    <w:rsid w:val="00F81A71"/>
    <w:rsid w:val="00F8410E"/>
    <w:rsid w:val="00F850B7"/>
    <w:rsid w:val="00F87E64"/>
    <w:rsid w:val="00F915EB"/>
    <w:rsid w:val="00F92C5C"/>
    <w:rsid w:val="00F94EE1"/>
    <w:rsid w:val="00F95F8F"/>
    <w:rsid w:val="00F9715C"/>
    <w:rsid w:val="00FA32C1"/>
    <w:rsid w:val="00FA3391"/>
    <w:rsid w:val="00FA6049"/>
    <w:rsid w:val="00FB13FF"/>
    <w:rsid w:val="00FB211C"/>
    <w:rsid w:val="00FB2D54"/>
    <w:rsid w:val="00FB5526"/>
    <w:rsid w:val="00FC05B5"/>
    <w:rsid w:val="00FC3075"/>
    <w:rsid w:val="00FC5A9C"/>
    <w:rsid w:val="00FD1B26"/>
    <w:rsid w:val="00FD2735"/>
    <w:rsid w:val="00FD7F87"/>
    <w:rsid w:val="00FE1E77"/>
    <w:rsid w:val="00FE2201"/>
    <w:rsid w:val="00FE2A70"/>
    <w:rsid w:val="00FE34DC"/>
    <w:rsid w:val="00FF2DE2"/>
    <w:rsid w:val="00FF418B"/>
    <w:rsid w:val="00FF4B5D"/>
    <w:rsid w:val="00FF6461"/>
    <w:rsid w:val="12C85008"/>
    <w:rsid w:val="12F2A25C"/>
    <w:rsid w:val="1B6FF077"/>
    <w:rsid w:val="268739E9"/>
    <w:rsid w:val="2C52A1F2"/>
    <w:rsid w:val="45223B83"/>
    <w:rsid w:val="49B5019E"/>
    <w:rsid w:val="529BABFE"/>
    <w:rsid w:val="53B382DD"/>
    <w:rsid w:val="58714898"/>
    <w:rsid w:val="690115CB"/>
    <w:rsid w:val="743B7EE3"/>
    <w:rsid w:val="7B1162F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20ADE263-24E8-4A4A-8139-F98073C83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B72535"/>
    <w:pPr>
      <w:keepNext/>
      <w:spacing w:after="0" w:line="240" w:lineRule="auto"/>
      <w:jc w:val="both"/>
      <w:outlineLvl w:val="0"/>
    </w:pPr>
    <w:rPr>
      <w:rFonts w:ascii="Arial" w:eastAsia="Times New Roman" w:hAnsi="Arial" w:cs="Times New Roman"/>
      <w:b/>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E4023"/>
    <w:rPr>
      <w:rFonts w:ascii="Tahoma" w:hAnsi="Tahoma" w:cs="Tahoma"/>
      <w:sz w:val="16"/>
      <w:szCs w:val="16"/>
    </w:rPr>
  </w:style>
  <w:style w:type="paragraph" w:styleId="Textosinformato">
    <w:name w:val="Plain Text"/>
    <w:basedOn w:val="Normal"/>
    <w:link w:val="TextosinformatoCar"/>
    <w:uiPriority w:val="99"/>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nhideWhenUsed/>
    <w:rsid w:val="004E46DD"/>
    <w:pPr>
      <w:spacing w:line="240" w:lineRule="auto"/>
    </w:pPr>
    <w:rPr>
      <w:sz w:val="20"/>
      <w:szCs w:val="20"/>
    </w:rPr>
  </w:style>
  <w:style w:type="character" w:customStyle="1" w:styleId="TextocomentarioCar">
    <w:name w:val="Texto comentario Car"/>
    <w:basedOn w:val="Fuentedeprrafopredeter"/>
    <w:link w:val="Textocomentario"/>
    <w:rsid w:val="004E46DD"/>
    <w:rPr>
      <w:sz w:val="20"/>
      <w:szCs w:val="20"/>
    </w:rPr>
  </w:style>
  <w:style w:type="paragraph" w:styleId="Asuntodelcomentario">
    <w:name w:val="annotation subject"/>
    <w:basedOn w:val="Textocomentario"/>
    <w:next w:val="Textocomentario"/>
    <w:link w:val="AsuntodelcomentarioCar"/>
    <w:semiHidden/>
    <w:unhideWhenUsed/>
    <w:rsid w:val="004E46DD"/>
    <w:rPr>
      <w:b/>
      <w:bCs/>
    </w:rPr>
  </w:style>
  <w:style w:type="character" w:customStyle="1" w:styleId="AsuntodelcomentarioCar">
    <w:name w:val="Asunto del comentario Car"/>
    <w:basedOn w:val="TextocomentarioCar"/>
    <w:link w:val="Asuntodelcomentario"/>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character" w:customStyle="1" w:styleId="Ttulo1Car">
    <w:name w:val="Título 1 Car"/>
    <w:basedOn w:val="Fuentedeprrafopredeter"/>
    <w:link w:val="Ttulo1"/>
    <w:rsid w:val="00B72535"/>
    <w:rPr>
      <w:rFonts w:ascii="Arial" w:eastAsia="Times New Roman" w:hAnsi="Arial" w:cs="Times New Roman"/>
      <w:b/>
      <w:sz w:val="18"/>
      <w:szCs w:val="20"/>
      <w:lang w:eastAsia="es-ES"/>
    </w:rPr>
  </w:style>
  <w:style w:type="paragraph" w:customStyle="1" w:styleId="msonormal0">
    <w:name w:val="msonormal"/>
    <w:basedOn w:val="Normal"/>
    <w:rsid w:val="00B7253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Sangradetextonormal">
    <w:name w:val="Body Text Indent"/>
    <w:basedOn w:val="Normal"/>
    <w:link w:val="SangradetextonormalCar"/>
    <w:semiHidden/>
    <w:unhideWhenUsed/>
    <w:rsid w:val="00B72535"/>
    <w:pPr>
      <w:tabs>
        <w:tab w:val="left" w:pos="2880"/>
      </w:tabs>
      <w:spacing w:after="0" w:line="240" w:lineRule="auto"/>
      <w:ind w:left="2880" w:hanging="2880"/>
    </w:pPr>
    <w:rPr>
      <w:rFonts w:ascii="Arial" w:eastAsia="Times New Roman" w:hAnsi="Arial" w:cs="Arial"/>
      <w:sz w:val="20"/>
      <w:szCs w:val="24"/>
      <w:lang w:eastAsia="es-ES"/>
    </w:rPr>
  </w:style>
  <w:style w:type="character" w:customStyle="1" w:styleId="SangradetextonormalCar">
    <w:name w:val="Sangría de texto normal Car"/>
    <w:basedOn w:val="Fuentedeprrafopredeter"/>
    <w:link w:val="Sangradetextonormal"/>
    <w:semiHidden/>
    <w:rsid w:val="00B72535"/>
    <w:rPr>
      <w:rFonts w:ascii="Arial" w:eastAsia="Times New Roman" w:hAnsi="Arial" w:cs="Arial"/>
      <w:sz w:val="20"/>
      <w:szCs w:val="24"/>
      <w:lang w:eastAsia="es-ES"/>
    </w:rPr>
  </w:style>
  <w:style w:type="paragraph" w:styleId="Sinespaciado">
    <w:name w:val="No Spacing"/>
    <w:uiPriority w:val="1"/>
    <w:qFormat/>
    <w:rsid w:val="00B72535"/>
    <w:pPr>
      <w:spacing w:after="0" w:line="240" w:lineRule="auto"/>
    </w:pPr>
    <w:rPr>
      <w:rFonts w:ascii="Times New Roman" w:eastAsia="Times New Roman" w:hAnsi="Times New Roman" w:cs="Times New Roman"/>
      <w:sz w:val="24"/>
      <w:szCs w:val="24"/>
      <w:lang w:eastAsia="es-ES"/>
    </w:rPr>
  </w:style>
  <w:style w:type="character" w:styleId="nfasissutil">
    <w:name w:val="Subtle Emphasis"/>
    <w:uiPriority w:val="19"/>
    <w:qFormat/>
    <w:rsid w:val="00B72535"/>
    <w:rPr>
      <w:i/>
      <w:iCs/>
      <w:color w:val="808080"/>
    </w:rPr>
  </w:style>
  <w:style w:type="character" w:styleId="nfasisintenso">
    <w:name w:val="Intense Emphasis"/>
    <w:uiPriority w:val="21"/>
    <w:qFormat/>
    <w:rsid w:val="00B72535"/>
    <w:rPr>
      <w:b/>
      <w:bCs/>
      <w:i/>
      <w:iCs/>
      <w:color w:val="4F81BD"/>
    </w:rPr>
  </w:style>
  <w:style w:type="table" w:styleId="Tablaconcuadrcula">
    <w:name w:val="Table Grid"/>
    <w:basedOn w:val="Tablanormal"/>
    <w:rsid w:val="00B72535"/>
    <w:pPr>
      <w:spacing w:after="0" w:line="240" w:lineRule="auto"/>
    </w:pPr>
    <w:rPr>
      <w:rFonts w:ascii="Times New Roman" w:eastAsia="Times New Roman" w:hAnsi="Times New Roman" w:cs="Times New Roman"/>
      <w:sz w:val="20"/>
      <w:szCs w:val="20"/>
      <w:lang w:val="es-CO" w:eastAsia="es-C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16DD7"/>
    <w:pPr>
      <w:spacing w:after="0" w:line="240" w:lineRule="auto"/>
    </w:pPr>
  </w:style>
  <w:style w:type="paragraph" w:styleId="NormalWeb">
    <w:name w:val="Normal (Web)"/>
    <w:basedOn w:val="Normal"/>
    <w:uiPriority w:val="99"/>
    <w:semiHidden/>
    <w:unhideWhenUsed/>
    <w:rsid w:val="005A657B"/>
    <w:rPr>
      <w:rFonts w:ascii="Times New Roman" w:hAnsi="Times New Roman" w:cs="Times New Roman"/>
      <w:sz w:val="24"/>
      <w:szCs w:val="24"/>
    </w:rPr>
  </w:style>
  <w:style w:type="paragraph" w:styleId="Textonotapie">
    <w:name w:val="footnote text"/>
    <w:basedOn w:val="Normal"/>
    <w:link w:val="TextonotapieCar"/>
    <w:uiPriority w:val="99"/>
    <w:semiHidden/>
    <w:unhideWhenUsed/>
    <w:rsid w:val="00CA0AA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A0AAC"/>
    <w:rPr>
      <w:sz w:val="20"/>
      <w:szCs w:val="20"/>
    </w:rPr>
  </w:style>
  <w:style w:type="character" w:styleId="Refdenotaalpie">
    <w:name w:val="footnote reference"/>
    <w:basedOn w:val="Fuentedeprrafopredeter"/>
    <w:uiPriority w:val="99"/>
    <w:semiHidden/>
    <w:unhideWhenUsed/>
    <w:rsid w:val="00CA0A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9076">
      <w:bodyDiv w:val="1"/>
      <w:marLeft w:val="0"/>
      <w:marRight w:val="0"/>
      <w:marTop w:val="0"/>
      <w:marBottom w:val="0"/>
      <w:divBdr>
        <w:top w:val="none" w:sz="0" w:space="0" w:color="auto"/>
        <w:left w:val="none" w:sz="0" w:space="0" w:color="auto"/>
        <w:bottom w:val="none" w:sz="0" w:space="0" w:color="auto"/>
        <w:right w:val="none" w:sz="0" w:space="0" w:color="auto"/>
      </w:divBdr>
    </w:div>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662584159">
      <w:bodyDiv w:val="1"/>
      <w:marLeft w:val="0"/>
      <w:marRight w:val="0"/>
      <w:marTop w:val="0"/>
      <w:marBottom w:val="0"/>
      <w:divBdr>
        <w:top w:val="none" w:sz="0" w:space="0" w:color="auto"/>
        <w:left w:val="none" w:sz="0" w:space="0" w:color="auto"/>
        <w:bottom w:val="none" w:sz="0" w:space="0" w:color="auto"/>
        <w:right w:val="none" w:sz="0" w:space="0" w:color="auto"/>
      </w:divBdr>
    </w:div>
    <w:div w:id="847910246">
      <w:bodyDiv w:val="1"/>
      <w:marLeft w:val="0"/>
      <w:marRight w:val="0"/>
      <w:marTop w:val="0"/>
      <w:marBottom w:val="0"/>
      <w:divBdr>
        <w:top w:val="none" w:sz="0" w:space="0" w:color="auto"/>
        <w:left w:val="none" w:sz="0" w:space="0" w:color="auto"/>
        <w:bottom w:val="none" w:sz="0" w:space="0" w:color="auto"/>
        <w:right w:val="none" w:sz="0" w:space="0" w:color="auto"/>
      </w:divBdr>
    </w:div>
    <w:div w:id="1279098479">
      <w:bodyDiv w:val="1"/>
      <w:marLeft w:val="0"/>
      <w:marRight w:val="0"/>
      <w:marTop w:val="0"/>
      <w:marBottom w:val="0"/>
      <w:divBdr>
        <w:top w:val="none" w:sz="0" w:space="0" w:color="auto"/>
        <w:left w:val="none" w:sz="0" w:space="0" w:color="auto"/>
        <w:bottom w:val="none" w:sz="0" w:space="0" w:color="auto"/>
        <w:right w:val="none" w:sz="0" w:space="0" w:color="auto"/>
      </w:divBdr>
    </w:div>
    <w:div w:id="1487477585">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 w:id="21063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2.xml><?xml version="1.0" encoding="utf-8"?>
<ds:datastoreItem xmlns:ds="http://schemas.openxmlformats.org/officeDocument/2006/customXml" ds:itemID="{D7527BBD-3084-4226-95FC-6AC7251AE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5</Pages>
  <Words>1676</Words>
  <Characters>9220</Characters>
  <Application>Microsoft Office Word</Application>
  <DocSecurity>0</DocSecurity>
  <Lines>76</Lines>
  <Paragraphs>21</Paragraphs>
  <ScaleCrop>false</ScaleCrop>
  <Company>superfinanciera</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107</cp:revision>
  <cp:lastPrinted>2019-12-16T17:02:00Z</cp:lastPrinted>
  <dcterms:created xsi:type="dcterms:W3CDTF">2025-05-09T21:41:00Z</dcterms:created>
  <dcterms:modified xsi:type="dcterms:W3CDTF">2025-05-16T20:39:00Z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